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2AE70">
      <w:pPr>
        <w:jc w:val="center"/>
        <w:rPr>
          <w:rFonts w:hint="eastAsia" w:ascii="Cambria" w:hAnsi="Cambria" w:eastAsia="宋体" w:cs="Times New Roman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Cambria" w:hAnsi="Cambria" w:eastAsia="宋体" w:cs="Times New Roman"/>
          <w:b/>
          <w:bCs/>
          <w:kern w:val="2"/>
          <w:sz w:val="44"/>
          <w:szCs w:val="44"/>
          <w:lang w:val="en-US" w:eastAsia="zh-CN" w:bidi="ar-SA"/>
        </w:rPr>
        <w:t>中小企业公共服务示范平台人员激励制度</w:t>
      </w:r>
    </w:p>
    <w:p w14:paraId="5CE7197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第一章 总则</w:t>
      </w:r>
    </w:p>
    <w:p w14:paraId="3B29647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第一条 制定目的</w:t>
      </w:r>
    </w:p>
    <w:p w14:paraId="70334D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为提升平台服务团队的工作积极性、主动性与创造性，吸引并留住优秀人才，打造高素质、高效率的服务队伍，保障平台服务质量与运营效率，结合平台实际情况，制定本制度。</w:t>
      </w:r>
    </w:p>
    <w:p w14:paraId="4F06091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条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适用范围</w:t>
      </w:r>
    </w:p>
    <w:p w14:paraId="6E4C8C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适用于平台所有正式工作人员，包括综合服务部、会员服务部、政府服务部、人才服务部、展会中心等职能部门的员工。</w:t>
      </w:r>
    </w:p>
    <w:p w14:paraId="170662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章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激励机制</w:t>
      </w:r>
    </w:p>
    <w:p w14:paraId="2EA7A4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条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薪酬激励</w:t>
      </w:r>
    </w:p>
    <w:p w14:paraId="6FE477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绩效工资：根据员工的工作绩效评估结果，确定绩效工资额度。绩效评估指标包括服务对象满意度、服务工作量、服务质量等。</w:t>
      </w:r>
    </w:p>
    <w:p w14:paraId="21E8E3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项目奖金：对于参与重要服务项目并取得良好成效的员工，给予项目奖金奖励。项目奖金根据项目的难度、规模和贡献度确定。</w:t>
      </w:r>
    </w:p>
    <w:p w14:paraId="4F12B0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提成奖励：对于为平台带来服务收入的员工，按照一定比例给予提成奖励。提成比例根据服务项目的类型和金额确定。</w:t>
      </w:r>
    </w:p>
    <w:p w14:paraId="673088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条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职业发展激励</w:t>
      </w:r>
    </w:p>
    <w:p w14:paraId="6DD1AD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晋升机制：建立明确的晋升通道，为员工提供晋升机会。员工在工作中表现优秀、能力突出，可晋升至更高职位，享受相应的薪酬和福利待遇。</w:t>
      </w:r>
    </w:p>
    <w:p w14:paraId="096479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培训与发展：为员工提供丰富的培训与发展机会，包括内部培训、外部培训、学历教育等。培训内容涵盖专业技能、管理能力、职业素养等方面，帮助员工提升自身素质和能力。</w:t>
      </w:r>
    </w:p>
    <w:p w14:paraId="320A21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条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荣誉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激励</w:t>
      </w:r>
    </w:p>
    <w:p w14:paraId="333E3E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优秀员工评选：每年组织优秀员工评选活动，对在工作中表现突出的员工进行表彰和奖励。优秀员工可获得荣誉证书、奖金等奖励。</w:t>
      </w:r>
    </w:p>
    <w:p w14:paraId="62075A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特殊贡献奖励：对于为平台做出特殊贡献的员工，如提出创新性服务方案、解决重大问题等，给予特殊贡献奖励。</w:t>
      </w:r>
    </w:p>
    <w:p w14:paraId="5649C3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公开表彰：通过平台内部通报、会议表彰等方式，对员工的优秀表现进行公开表彰，增强员工的荣誉感和归属感。</w:t>
      </w:r>
    </w:p>
    <w:p w14:paraId="2FABC6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条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福利激励</w:t>
      </w:r>
    </w:p>
    <w:p w14:paraId="4C64E6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带薪休假：员工可享受带薪年假、病假、婚假、产假等假期，根据工作年限和职位级别确定休假天数。</w:t>
      </w:r>
    </w:p>
    <w:p w14:paraId="2E9471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节日福利：在春节、端午节、中秋节等传统节日，为员工发放节日福利，如礼品、礼金等。</w:t>
      </w:r>
    </w:p>
    <w:p w14:paraId="2AE23F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健康体检：每年为员工提供一次健康体检，关注员工的身体健康。</w:t>
      </w:r>
    </w:p>
    <w:p w14:paraId="70DD2B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其他福利：为员工提供交通补贴、餐饮补贴、通讯补贴等福利，提高员工的生活质量。</w:t>
      </w:r>
    </w:p>
    <w:p w14:paraId="0E839E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</w:p>
    <w:p w14:paraId="7A5AD7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章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绩效评估</w:t>
      </w:r>
    </w:p>
    <w:p w14:paraId="5E56D2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 xml:space="preserve">第七条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评估周期</w:t>
      </w:r>
    </w:p>
    <w:p w14:paraId="5A6145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绩效评估分为月度评估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和</w:t>
      </w: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年度评估。月度评估主要针对员工的日常工作表现进行评估；年度评估主要针对员工的年度工作绩效进行全面评估。</w:t>
      </w:r>
    </w:p>
    <w:p w14:paraId="3391D9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 xml:space="preserve">第八条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评估指标</w:t>
      </w:r>
    </w:p>
    <w:p w14:paraId="23A984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绩效评估指标包括工作业绩、工作能力、工作态度等方面。工作业绩指标主要包括服务对象数量、服务满意度、服务收入等；工作能力指标主要包括专业技能、沟通能力、团队协作能力等；工作态度指标主要包括工作积极性、责任心、纪律性等。</w:t>
      </w:r>
    </w:p>
    <w:p w14:paraId="158BC5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 xml:space="preserve">第九条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评估方式</w:t>
      </w:r>
    </w:p>
    <w:p w14:paraId="6C5986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绩效评估采用自评、上级评估、同事评估和服务对象评估相结合的方式进行。自评是员工对自己的工作表现进行评估；上级评估是员工的直接上级对员工的工作表现进行评估；同事评估是员工的同事对员工的工作表现进行评估；服务对象评估是服务对象对员工的服务质量进行评估。</w:t>
      </w:r>
    </w:p>
    <w:p w14:paraId="6529C4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 xml:space="preserve">第十条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评估结果应用</w:t>
      </w:r>
    </w:p>
    <w:p w14:paraId="0E5F38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绩效评估结果作为员工薪酬调整、晋升、培训与发展、荣誉激励等的重要依据。对于绩效评估结果优秀的员工，给予相应的奖励和晋升机会；对于绩效评估结果不合格的员工，进行绩效辅导和培训，帮助其提升工作绩效。</w:t>
      </w:r>
    </w:p>
    <w:p w14:paraId="07802F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</w:p>
    <w:p w14:paraId="02BC07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</w:p>
    <w:p w14:paraId="7BB09B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第四章 监督考核</w:t>
      </w:r>
    </w:p>
    <w:p w14:paraId="521E75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 xml:space="preserve">第十一条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监督与考核</w:t>
      </w:r>
    </w:p>
    <w:p w14:paraId="244D09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建立激励制度监督与考核机制，对激励制度的实施情况进行监督和考核。对于违反激励制度的行为，按照相关规定进行处理；对于激励制度实施效果良好的部门和个人，给予相应的奖励。</w:t>
      </w:r>
    </w:p>
    <w:p w14:paraId="7FF6D2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center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 xml:space="preserve">第五章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附则</w:t>
      </w:r>
    </w:p>
    <w:p w14:paraId="500064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第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 xml:space="preserve">十二条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制度解释与修订</w:t>
      </w:r>
    </w:p>
    <w:p w14:paraId="5BA738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本制度由深圳市智慧安防行业协会负责解释和修订。根据平台发展需求和实际运营情况，适时对本制度进行修订完善。</w:t>
      </w:r>
    </w:p>
    <w:p w14:paraId="6FD124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 xml:space="preserve">第十三条 </w:t>
      </w:r>
      <w:r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生效日期</w:t>
      </w:r>
    </w:p>
    <w:p w14:paraId="798989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  <w:t>本制度自发布之日起施行。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4F5536"/>
    <w:rsid w:val="7BE1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1346</Words>
  <Characters>1346</Characters>
  <Lines>0</Lines>
  <Paragraphs>0</Paragraphs>
  <TotalTime>0</TotalTime>
  <ScaleCrop>false</ScaleCrop>
  <LinksUpToDate>false</LinksUpToDate>
  <CharactersWithSpaces>1361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2025-06-26T03:01:00Z</dcterms:created>
  <dc:creator>Administrator</dc:creator>
  <cp:lastModifiedBy>Jessica</cp:lastModifiedBy>
  <dcterms:modified xsi:type="dcterms:W3CDTF">2025-06-26T03:17:54Z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eyJoZGlkIjoiNzA2NmQ5Yzk0YjAwNTI1ZDY5NGI3ZGQxYjU0ZmI5Y2YiLCJ1c2VySWQiOiIzMzEyOTM5NTUifQ==</vt:lpwstr>
  </property>
  <property fmtid="{D5CDD505-2E9C-101B-9397-08002B2CF9AE}" pid="4" name="ICV">
    <vt:lpwstr>33489476AEF242379D7FC3556108BD3C_12</vt:lpwstr>
  </property>
</Properties>
</file>