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32"/>
          <w:szCs w:val="40"/>
        </w:rPr>
      </w:pPr>
      <w:r>
        <w:rPr>
          <w:rFonts w:hint="eastAsia" w:ascii="微软雅黑" w:hAnsi="微软雅黑" w:eastAsia="微软雅黑" w:cs="微软雅黑"/>
          <w:b/>
          <w:bCs/>
          <w:sz w:val="32"/>
          <w:szCs w:val="40"/>
          <w:lang w:val="en-US" w:eastAsia="zh-CN"/>
        </w:rPr>
        <w:t>团体标准《T/SZSA 033-2024 基于北斗授时的智慧交通流量预测系统技术规范》</w:t>
      </w:r>
      <w:bookmarkStart w:id="40" w:name="_GoBack"/>
      <w:bookmarkEnd w:id="40"/>
      <w:r>
        <w:rPr>
          <w:rFonts w:hint="eastAsia" w:ascii="微软雅黑" w:hAnsi="微软雅黑" w:eastAsia="微软雅黑" w:cs="微软雅黑"/>
          <w:b/>
          <w:bCs/>
          <w:sz w:val="32"/>
          <w:szCs w:val="40"/>
        </w:rPr>
        <w:t>邀请函</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尊敬的</w:t>
      </w:r>
      <w:r>
        <w:rPr>
          <w:rFonts w:hint="eastAsia" w:ascii="微软雅黑" w:hAnsi="微软雅黑" w:eastAsia="微软雅黑" w:cs="微软雅黑"/>
          <w:sz w:val="24"/>
          <w:szCs w:val="32"/>
          <w:lang w:val="en-US" w:eastAsia="zh-CN"/>
        </w:rPr>
        <w:t>______________</w:t>
      </w:r>
      <w:r>
        <w:rPr>
          <w:rFonts w:hint="eastAsia" w:ascii="微软雅黑" w:hAnsi="微软雅黑" w:eastAsia="微软雅黑" w:cs="微软雅黑"/>
          <w:sz w:val="24"/>
          <w:szCs w:val="32"/>
        </w:rPr>
        <w: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微软雅黑" w:hAnsi="微软雅黑" w:eastAsia="微软雅黑" w:cs="微软雅黑"/>
          <w:sz w:val="24"/>
          <w:szCs w:val="32"/>
          <w:lang w:val="en-US" w:eastAsia="zh-CN"/>
        </w:rPr>
      </w:pPr>
      <w:r>
        <w:rPr>
          <w:rFonts w:hint="eastAsia" w:ascii="微软雅黑" w:hAnsi="微软雅黑" w:eastAsia="微软雅黑" w:cs="微软雅黑"/>
          <w:sz w:val="24"/>
          <w:szCs w:val="32"/>
          <w:lang w:val="en-US" w:eastAsia="zh-CN"/>
        </w:rPr>
        <w:t>您好！</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微软雅黑" w:hAnsi="微软雅黑" w:eastAsia="微软雅黑" w:cs="微软雅黑"/>
          <w:sz w:val="24"/>
          <w:szCs w:val="32"/>
          <w:lang w:val="en-US" w:eastAsia="zh-CN"/>
        </w:rPr>
      </w:pPr>
      <w:r>
        <w:rPr>
          <w:rFonts w:hint="eastAsia" w:ascii="微软雅黑" w:hAnsi="微软雅黑" w:eastAsia="微软雅黑" w:cs="微软雅黑"/>
          <w:sz w:val="24"/>
          <w:szCs w:val="32"/>
        </w:rPr>
        <w:t>我们诚挚地邀请</w:t>
      </w:r>
      <w:r>
        <w:rPr>
          <w:rFonts w:hint="eastAsia" w:ascii="微软雅黑" w:hAnsi="微软雅黑" w:eastAsia="微软雅黑" w:cs="微软雅黑"/>
          <w:sz w:val="24"/>
          <w:szCs w:val="32"/>
          <w:lang w:val="en-US" w:eastAsia="zh-CN"/>
        </w:rPr>
        <w:t>贵单位</w:t>
      </w:r>
      <w:r>
        <w:rPr>
          <w:rFonts w:hint="eastAsia" w:ascii="微软雅黑" w:hAnsi="微软雅黑" w:eastAsia="微软雅黑" w:cs="微软雅黑"/>
          <w:sz w:val="24"/>
          <w:szCs w:val="32"/>
        </w:rPr>
        <w:t>参与</w:t>
      </w:r>
      <w:r>
        <w:rPr>
          <w:rFonts w:hint="eastAsia" w:ascii="微软雅黑" w:hAnsi="微软雅黑" w:eastAsia="微软雅黑" w:cs="微软雅黑"/>
          <w:sz w:val="24"/>
          <w:szCs w:val="32"/>
          <w:lang w:val="en-US" w:eastAsia="zh-CN"/>
        </w:rPr>
        <w:t>团体标准《T/SZSA 033-2024 基于北斗授时的智慧交通流量预测系统技术规范》</w:t>
      </w:r>
      <w:r>
        <w:rPr>
          <w:rFonts w:hint="eastAsia" w:ascii="微软雅黑" w:hAnsi="微软雅黑" w:eastAsia="微软雅黑" w:cs="微软雅黑"/>
          <w:sz w:val="24"/>
          <w:szCs w:val="32"/>
        </w:rPr>
        <w:t>的编制工作。</w:t>
      </w:r>
      <w:r>
        <w:rPr>
          <w:rFonts w:hint="eastAsia" w:ascii="微软雅黑" w:hAnsi="微软雅黑" w:eastAsia="微软雅黑" w:cs="微软雅黑"/>
          <w:sz w:val="24"/>
          <w:szCs w:val="32"/>
          <w:lang w:val="en-US" w:eastAsia="zh-CN"/>
        </w:rPr>
        <w:t>本标准</w:t>
      </w:r>
      <w:r>
        <w:rPr>
          <w:rFonts w:hint="eastAsia" w:ascii="微软雅黑" w:hAnsi="微软雅黑" w:eastAsia="微软雅黑" w:cs="微软雅黑"/>
          <w:sz w:val="24"/>
          <w:szCs w:val="32"/>
        </w:rPr>
        <w:t>旨在规定基于北斗卫星授时系统的交通车流量预测技术的术语和定义、系统描述、一般要求、系统功能要求、数据采集要求以及预测性能要求等内容。</w:t>
      </w:r>
      <w:r>
        <w:rPr>
          <w:rFonts w:hint="eastAsia" w:ascii="微软雅黑" w:hAnsi="微软雅黑" w:eastAsia="微软雅黑" w:cs="微软雅黑"/>
          <w:sz w:val="24"/>
          <w:szCs w:val="32"/>
          <w:lang w:val="en-US" w:eastAsia="zh-CN"/>
        </w:rPr>
        <w:t>通过对各项技术要求的参数进行规范，给采用北斗卫星授时的交通系统时间同步与车流量预测系统的设计、研发、生产与检验等企业提供一个参考指标，加强企业之间的交流与合作。本标准的编制工作现正进行，预计2024年5月31日前完成标准的发布，希望有意向的企业积极参与，为编制工作出一份力。</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微软雅黑" w:hAnsi="微软雅黑" w:eastAsia="微软雅黑" w:cs="微软雅黑"/>
          <w:sz w:val="24"/>
          <w:szCs w:val="32"/>
          <w:lang w:val="en-US" w:eastAsia="zh-CN"/>
        </w:rPr>
      </w:pPr>
      <w:r>
        <w:rPr>
          <w:rFonts w:hint="eastAsia" w:ascii="微软雅黑" w:hAnsi="微软雅黑" w:eastAsia="微软雅黑" w:cs="微软雅黑"/>
          <w:sz w:val="24"/>
          <w:szCs w:val="32"/>
          <w:lang w:val="en-US" w:eastAsia="zh-CN"/>
        </w:rPr>
        <w:t>标准的部分内容大纲请看《附件1》。</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微软雅黑" w:hAnsi="微软雅黑" w:eastAsia="微软雅黑" w:cs="微软雅黑"/>
          <w:sz w:val="24"/>
          <w:szCs w:val="32"/>
          <w:lang w:val="en-US" w:eastAsia="zh-CN"/>
        </w:rPr>
      </w:pPr>
      <w:r>
        <w:rPr>
          <w:rFonts w:hint="eastAsia" w:ascii="微软雅黑" w:hAnsi="微软雅黑" w:eastAsia="微软雅黑" w:cs="微软雅黑"/>
          <w:sz w:val="24"/>
          <w:szCs w:val="32"/>
          <w:lang w:val="en-US" w:eastAsia="zh-CN"/>
        </w:rPr>
        <w:t>参编申请表请看《附件2》。</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微软雅黑" w:hAnsi="微软雅黑" w:eastAsia="微软雅黑" w:cs="微软雅黑"/>
          <w:sz w:val="24"/>
          <w:szCs w:val="32"/>
          <w:lang w:val="en-US" w:eastAsia="zh-CN"/>
        </w:rPr>
      </w:pPr>
      <w:r>
        <w:rPr>
          <w:rFonts w:hint="eastAsia" w:ascii="微软雅黑" w:hAnsi="微软雅黑" w:eastAsia="微软雅黑" w:cs="微软雅黑"/>
          <w:sz w:val="24"/>
          <w:szCs w:val="32"/>
          <w:lang w:val="en-US" w:eastAsia="zh-CN"/>
        </w:rPr>
        <w:t>如有任何疑问或需要进一步了解相关信息，请随时与我们联系：</w:t>
      </w:r>
    </w:p>
    <w:p>
      <w:pPr>
        <w:pStyle w:val="2"/>
        <w:keepNext w:val="0"/>
        <w:keepLines w:val="0"/>
        <w:pageBreakBefore w:val="0"/>
        <w:widowControl/>
        <w:suppressLineNumbers w:val="0"/>
        <w:kinsoku/>
        <w:wordWrap/>
        <w:overflowPunct/>
        <w:topLinePunct w:val="0"/>
        <w:autoSpaceDE/>
        <w:autoSpaceDN/>
        <w:bidi w:val="0"/>
        <w:adjustRightInd/>
        <w:snapToGrid/>
        <w:spacing w:line="240" w:lineRule="exact"/>
        <w:ind w:left="0" w:firstLine="480" w:firstLineChars="200"/>
        <w:textAlignment w:val="auto"/>
        <w:rPr>
          <w:rFonts w:hint="eastAsia" w:ascii="微软雅黑" w:hAnsi="微软雅黑" w:eastAsia="微软雅黑" w:cs="微软雅黑"/>
          <w:b/>
          <w:bCs/>
          <w:kern w:val="2"/>
          <w:sz w:val="24"/>
          <w:szCs w:val="32"/>
          <w:lang w:val="en-US" w:eastAsia="zh-CN" w:bidi="ar-SA"/>
        </w:rPr>
      </w:pPr>
      <w:r>
        <w:rPr>
          <w:rFonts w:hint="eastAsia" w:ascii="微软雅黑" w:hAnsi="微软雅黑" w:eastAsia="微软雅黑" w:cs="微软雅黑"/>
          <w:b/>
          <w:bCs/>
          <w:kern w:val="2"/>
          <w:sz w:val="24"/>
          <w:szCs w:val="32"/>
          <w:lang w:val="en-US" w:eastAsia="zh-CN" w:bidi="ar-SA"/>
        </w:rPr>
        <w:t>协会秘书处联系方式：</w:t>
      </w:r>
    </w:p>
    <w:p>
      <w:pPr>
        <w:pStyle w:val="2"/>
        <w:keepNext w:val="0"/>
        <w:keepLines w:val="0"/>
        <w:pageBreakBefore w:val="0"/>
        <w:widowControl/>
        <w:suppressLineNumbers w:val="0"/>
        <w:kinsoku/>
        <w:wordWrap/>
        <w:overflowPunct/>
        <w:topLinePunct w:val="0"/>
        <w:autoSpaceDE/>
        <w:autoSpaceDN/>
        <w:bidi w:val="0"/>
        <w:adjustRightInd/>
        <w:snapToGrid/>
        <w:spacing w:line="240" w:lineRule="exact"/>
        <w:ind w:left="0" w:firstLine="480" w:firstLineChars="200"/>
        <w:jc w:val="left"/>
        <w:textAlignment w:val="auto"/>
        <w:rPr>
          <w:rFonts w:hint="eastAsia" w:ascii="微软雅黑" w:hAnsi="微软雅黑" w:eastAsia="微软雅黑" w:cs="微软雅黑"/>
          <w:kern w:val="2"/>
          <w:sz w:val="24"/>
          <w:szCs w:val="32"/>
          <w:lang w:val="en-US" w:eastAsia="zh-CN" w:bidi="ar-SA"/>
        </w:rPr>
      </w:pPr>
      <w:r>
        <w:rPr>
          <w:rFonts w:hint="eastAsia" w:ascii="微软雅黑" w:hAnsi="微软雅黑" w:eastAsia="微软雅黑" w:cs="微软雅黑"/>
          <w:kern w:val="2"/>
          <w:sz w:val="24"/>
          <w:szCs w:val="32"/>
          <w:lang w:val="en-US" w:eastAsia="zh-CN" w:bidi="ar-SA"/>
        </w:rPr>
        <w:t>朱小姐  13683392729（微信同号）   </w:t>
      </w:r>
    </w:p>
    <w:p>
      <w:pPr>
        <w:pStyle w:val="2"/>
        <w:keepNext w:val="0"/>
        <w:keepLines w:val="0"/>
        <w:pageBreakBefore w:val="0"/>
        <w:widowControl/>
        <w:suppressLineNumbers w:val="0"/>
        <w:kinsoku/>
        <w:wordWrap/>
        <w:overflowPunct/>
        <w:topLinePunct w:val="0"/>
        <w:autoSpaceDE/>
        <w:autoSpaceDN/>
        <w:bidi w:val="0"/>
        <w:adjustRightInd/>
        <w:snapToGrid/>
        <w:spacing w:line="240" w:lineRule="exact"/>
        <w:ind w:left="0" w:firstLine="480" w:firstLineChars="200"/>
        <w:jc w:val="left"/>
        <w:textAlignment w:val="auto"/>
        <w:rPr>
          <w:rFonts w:hint="eastAsia" w:ascii="微软雅黑" w:hAnsi="微软雅黑" w:eastAsia="微软雅黑" w:cs="微软雅黑"/>
          <w:kern w:val="2"/>
          <w:sz w:val="24"/>
          <w:szCs w:val="32"/>
          <w:lang w:val="en-US" w:eastAsia="zh-CN" w:bidi="ar-SA"/>
        </w:rPr>
      </w:pPr>
      <w:r>
        <w:rPr>
          <w:rFonts w:hint="eastAsia" w:ascii="微软雅黑" w:hAnsi="微软雅黑" w:eastAsia="微软雅黑" w:cs="微软雅黑"/>
          <w:kern w:val="2"/>
          <w:sz w:val="24"/>
          <w:szCs w:val="32"/>
          <w:lang w:val="en-US" w:eastAsia="zh-CN" w:bidi="ar-SA"/>
        </w:rPr>
        <w:t>李小姐  15914717229（微信同号）   </w:t>
      </w:r>
    </w:p>
    <w:p>
      <w:pPr>
        <w:keepNext w:val="0"/>
        <w:keepLines w:val="0"/>
        <w:pageBreakBefore w:val="0"/>
        <w:widowControl w:val="0"/>
        <w:kinsoku/>
        <w:wordWrap/>
        <w:overflowPunct/>
        <w:topLinePunct w:val="0"/>
        <w:autoSpaceDE/>
        <w:autoSpaceDN/>
        <w:bidi w:val="0"/>
        <w:adjustRightInd/>
        <w:snapToGrid/>
        <w:ind w:firstLine="480" w:firstLineChars="200"/>
        <w:jc w:val="right"/>
        <w:textAlignment w:val="auto"/>
        <w:rPr>
          <w:rFonts w:hint="default" w:ascii="微软雅黑" w:hAnsi="微软雅黑" w:eastAsia="微软雅黑" w:cs="微软雅黑"/>
          <w:sz w:val="24"/>
          <w:szCs w:val="32"/>
          <w:lang w:val="en-US" w:eastAsia="zh-CN"/>
        </w:rPr>
      </w:pPr>
      <w:r>
        <w:rPr>
          <w:rFonts w:hint="eastAsia" w:ascii="微软雅黑" w:hAnsi="微软雅黑" w:eastAsia="微软雅黑" w:cs="微软雅黑"/>
          <w:sz w:val="24"/>
          <w:szCs w:val="32"/>
          <w:lang w:val="en-US" w:eastAsia="zh-CN"/>
        </w:rPr>
        <w:t>深圳市智慧安防行业协会</w:t>
      </w:r>
    </w:p>
    <w:p>
      <w:pPr>
        <w:jc w:val="right"/>
        <w:rPr>
          <w:rFonts w:hint="eastAsia" w:ascii="微软雅黑" w:hAnsi="微软雅黑" w:eastAsia="微软雅黑" w:cs="微软雅黑"/>
          <w:sz w:val="24"/>
          <w:szCs w:val="32"/>
          <w:lang w:val="en-US" w:eastAsia="zh-CN"/>
        </w:rPr>
      </w:pPr>
      <w:r>
        <w:rPr>
          <w:rFonts w:hint="eastAsia" w:ascii="微软雅黑" w:hAnsi="微软雅黑" w:eastAsia="微软雅黑" w:cs="微软雅黑"/>
          <w:sz w:val="24"/>
          <w:szCs w:val="32"/>
          <w:lang w:val="en-US" w:eastAsia="zh-CN"/>
        </w:rPr>
        <w:t>深圳市半导体产业发展促进会</w:t>
      </w:r>
    </w:p>
    <w:p>
      <w:pPr>
        <w:jc w:val="right"/>
        <w:rPr>
          <w:rFonts w:hint="default" w:ascii="微软雅黑" w:hAnsi="微软雅黑" w:eastAsia="微软雅黑" w:cs="微软雅黑"/>
          <w:sz w:val="24"/>
          <w:szCs w:val="32"/>
          <w:lang w:val="en-US" w:eastAsia="zh-CN"/>
        </w:rPr>
      </w:pPr>
      <w:r>
        <w:rPr>
          <w:rFonts w:hint="eastAsia" w:ascii="微软雅黑" w:hAnsi="微软雅黑" w:eastAsia="微软雅黑" w:cs="微软雅黑"/>
          <w:sz w:val="24"/>
          <w:szCs w:val="32"/>
          <w:lang w:val="en-US" w:eastAsia="zh-CN"/>
        </w:rPr>
        <w:t>2024年3月13日</w:t>
      </w:r>
    </w:p>
    <w:p>
      <w:pPr>
        <w:jc w:val="right"/>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br w:type="page"/>
      </w:r>
    </w:p>
    <w:p>
      <w:pPr>
        <w:rPr>
          <w:rFonts w:hint="eastAsia" w:ascii="微软雅黑" w:hAnsi="微软雅黑" w:eastAsia="微软雅黑" w:cs="微软雅黑"/>
          <w:sz w:val="24"/>
          <w:szCs w:val="32"/>
          <w:lang w:val="en-US" w:eastAsia="zh-CN"/>
        </w:rPr>
      </w:pPr>
      <w:r>
        <w:rPr>
          <w:rFonts w:hint="eastAsia" w:ascii="微软雅黑" w:hAnsi="微软雅黑" w:eastAsia="微软雅黑" w:cs="微软雅黑"/>
          <w:sz w:val="24"/>
          <w:szCs w:val="32"/>
          <w:lang w:val="en-US" w:eastAsia="zh-CN"/>
        </w:rPr>
        <w:t>附件1：</w:t>
      </w:r>
    </w:p>
    <w:p>
      <w:pPr>
        <w:pStyle w:val="6"/>
        <w:rPr>
          <w:sz w:val="24"/>
          <w:szCs w:val="32"/>
        </w:rPr>
      </w:pPr>
      <w:bookmarkStart w:id="0" w:name="_Toc157086322"/>
      <w:bookmarkStart w:id="1" w:name="_Toc157087520"/>
      <w:r>
        <w:rPr>
          <w:rFonts w:hint="eastAsia"/>
          <w:sz w:val="24"/>
          <w:szCs w:val="32"/>
        </w:rPr>
        <w:t>5</w:t>
      </w:r>
      <w:r>
        <w:rPr>
          <w:sz w:val="24"/>
          <w:szCs w:val="32"/>
        </w:rPr>
        <w:t xml:space="preserve">  </w:t>
      </w:r>
      <w:r>
        <w:rPr>
          <w:rFonts w:hint="eastAsia"/>
          <w:sz w:val="24"/>
          <w:szCs w:val="32"/>
        </w:rPr>
        <w:t>组成</w:t>
      </w:r>
      <w:bookmarkEnd w:id="0"/>
      <w:bookmarkEnd w:id="1"/>
    </w:p>
    <w:p>
      <w:pPr>
        <w:pStyle w:val="7"/>
        <w:rPr>
          <w:sz w:val="24"/>
          <w:szCs w:val="32"/>
        </w:rPr>
      </w:pPr>
      <w:bookmarkStart w:id="2" w:name="_Toc157087521"/>
      <w:bookmarkStart w:id="3" w:name="_Toc157086323"/>
      <w:r>
        <w:rPr>
          <w:rFonts w:hint="eastAsia"/>
          <w:sz w:val="24"/>
          <w:szCs w:val="32"/>
        </w:rPr>
        <w:t>5</w:t>
      </w:r>
      <w:r>
        <w:rPr>
          <w:sz w:val="24"/>
          <w:szCs w:val="32"/>
        </w:rPr>
        <w:t xml:space="preserve">.1  </w:t>
      </w:r>
      <w:r>
        <w:rPr>
          <w:rFonts w:hint="eastAsia"/>
          <w:sz w:val="24"/>
          <w:szCs w:val="32"/>
        </w:rPr>
        <w:t>概述</w:t>
      </w:r>
      <w:bookmarkEnd w:id="2"/>
      <w:bookmarkEnd w:id="3"/>
    </w:p>
    <w:p>
      <w:pPr>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32"/>
        </w:rPr>
      </w:pPr>
      <w:r>
        <w:rPr>
          <w:rFonts w:hint="eastAsia"/>
          <w:sz w:val="24"/>
          <w:szCs w:val="32"/>
        </w:rPr>
        <w:t>北斗卫星导航系统在交通车流量预测中作为时间同步系统的时间源之一，通过北斗卫星授时时间同步装置实现时间同步功能。该装置由接收单元（又称授时终端）、时钟单元和输出单元组成。北斗卫星授时时间同步装置接收北斗卫星无线时间基准信号，输出相应的时间信号。在交通系统中，北斗授时应用接口包括接收单元的天线输入接口、北斗卫星授时时间同步装置内部接收单元与时钟单元的交互接口，以及北斗卫星授时时间同步装置与被授时系统和设备的输出接口</w:t>
      </w:r>
      <w:r>
        <w:rPr>
          <w:sz w:val="24"/>
          <w:szCs w:val="32"/>
        </w:rPr>
        <w:t>。本标准适用于采用北斗卫星授时系统的交通车流量预测系统的设计、研</w:t>
      </w:r>
      <w:r>
        <w:rPr>
          <w:rFonts w:hint="eastAsia"/>
          <w:sz w:val="24"/>
          <w:szCs w:val="32"/>
        </w:rPr>
        <w:t>发、生产与检验。</w:t>
      </w:r>
    </w:p>
    <w:p>
      <w:pPr>
        <w:pStyle w:val="7"/>
        <w:rPr>
          <w:sz w:val="24"/>
          <w:szCs w:val="32"/>
        </w:rPr>
      </w:pPr>
      <w:bookmarkStart w:id="4" w:name="_Toc157086324"/>
      <w:bookmarkStart w:id="5" w:name="_Toc157087522"/>
      <w:r>
        <w:rPr>
          <w:sz w:val="24"/>
          <w:szCs w:val="32"/>
        </w:rPr>
        <w:t>5.2  北斗卫星授时</w:t>
      </w:r>
      <w:r>
        <w:rPr>
          <w:rFonts w:hint="eastAsia"/>
          <w:sz w:val="24"/>
          <w:szCs w:val="32"/>
        </w:rPr>
        <w:t>交通预测系统</w:t>
      </w:r>
      <w:r>
        <w:rPr>
          <w:sz w:val="24"/>
          <w:szCs w:val="32"/>
        </w:rPr>
        <w:t>组成</w:t>
      </w:r>
      <w:bookmarkEnd w:id="4"/>
      <w:bookmarkEnd w:id="5"/>
    </w:p>
    <w:p>
      <w:pPr>
        <w:pStyle w:val="8"/>
        <w:rPr>
          <w:sz w:val="24"/>
          <w:szCs w:val="32"/>
        </w:rPr>
      </w:pPr>
      <w:bookmarkStart w:id="6" w:name="_Toc157086325"/>
      <w:r>
        <w:rPr>
          <w:rFonts w:hint="eastAsia"/>
          <w:sz w:val="24"/>
          <w:szCs w:val="32"/>
        </w:rPr>
        <w:t>5</w:t>
      </w:r>
      <w:r>
        <w:rPr>
          <w:sz w:val="24"/>
          <w:szCs w:val="32"/>
        </w:rPr>
        <w:t xml:space="preserve">.2.1  </w:t>
      </w:r>
      <w:r>
        <w:rPr>
          <w:rFonts w:hint="eastAsia"/>
          <w:sz w:val="24"/>
          <w:szCs w:val="32"/>
        </w:rPr>
        <w:t>时钟单元</w:t>
      </w:r>
      <w:bookmarkEnd w:id="6"/>
    </w:p>
    <w:p>
      <w:pPr>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32"/>
        </w:rPr>
      </w:pPr>
      <w:r>
        <w:rPr>
          <w:rFonts w:hint="eastAsia"/>
          <w:sz w:val="24"/>
          <w:szCs w:val="32"/>
        </w:rPr>
        <w:t>时钟单元负责将接收到的北斗信号转换为时间戳，作为当前所收集到数据的时间信息。</w:t>
      </w:r>
    </w:p>
    <w:p>
      <w:pPr>
        <w:pStyle w:val="8"/>
        <w:rPr>
          <w:sz w:val="24"/>
          <w:szCs w:val="32"/>
        </w:rPr>
      </w:pPr>
      <w:bookmarkStart w:id="7" w:name="_Toc157086326"/>
      <w:r>
        <w:rPr>
          <w:rFonts w:hint="eastAsia"/>
          <w:sz w:val="24"/>
          <w:szCs w:val="32"/>
        </w:rPr>
        <w:t>5</w:t>
      </w:r>
      <w:r>
        <w:rPr>
          <w:sz w:val="24"/>
          <w:szCs w:val="32"/>
        </w:rPr>
        <w:t xml:space="preserve">.2.2  </w:t>
      </w:r>
      <w:r>
        <w:rPr>
          <w:rFonts w:hint="eastAsia"/>
          <w:sz w:val="24"/>
          <w:szCs w:val="32"/>
        </w:rPr>
        <w:t>预测模型单元</w:t>
      </w:r>
      <w:bookmarkEnd w:id="7"/>
    </w:p>
    <w:p>
      <w:pPr>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32"/>
        </w:rPr>
      </w:pPr>
      <w:r>
        <w:rPr>
          <w:rFonts w:hint="eastAsia"/>
          <w:sz w:val="24"/>
          <w:szCs w:val="32"/>
        </w:rPr>
        <w:t>预测模型单元负责将传感器接收到的数据与时钟单元输出的时间戳转换为预测输出。</w:t>
      </w:r>
    </w:p>
    <w:p>
      <w:pPr>
        <w:pStyle w:val="8"/>
        <w:rPr>
          <w:sz w:val="24"/>
          <w:szCs w:val="32"/>
        </w:rPr>
      </w:pPr>
      <w:bookmarkStart w:id="8" w:name="_Toc157086327"/>
      <w:r>
        <w:rPr>
          <w:rFonts w:hint="eastAsia"/>
          <w:sz w:val="24"/>
          <w:szCs w:val="32"/>
        </w:rPr>
        <w:t>5</w:t>
      </w:r>
      <w:r>
        <w:rPr>
          <w:sz w:val="24"/>
          <w:szCs w:val="32"/>
        </w:rPr>
        <w:t xml:space="preserve">.2.3  </w:t>
      </w:r>
      <w:r>
        <w:rPr>
          <w:rFonts w:hint="eastAsia"/>
          <w:sz w:val="24"/>
          <w:szCs w:val="32"/>
        </w:rPr>
        <w:t>输出单元</w:t>
      </w:r>
      <w:bookmarkEnd w:id="8"/>
    </w:p>
    <w:p>
      <w:pPr>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32"/>
        </w:rPr>
      </w:pPr>
      <w:r>
        <w:rPr>
          <w:rFonts w:hint="eastAsia"/>
          <w:sz w:val="24"/>
          <w:szCs w:val="32"/>
        </w:rPr>
        <w:t>输出单元负责将预测结果进行保存及展示。</w:t>
      </w:r>
    </w:p>
    <w:p>
      <w:pPr>
        <w:pStyle w:val="7"/>
        <w:rPr>
          <w:sz w:val="24"/>
          <w:szCs w:val="32"/>
        </w:rPr>
      </w:pPr>
      <w:bookmarkStart w:id="9" w:name="_Toc157087523"/>
      <w:bookmarkStart w:id="10" w:name="_Toc157086328"/>
      <w:r>
        <w:rPr>
          <w:rFonts w:hint="eastAsia"/>
          <w:sz w:val="24"/>
          <w:szCs w:val="32"/>
        </w:rPr>
        <w:t>5</w:t>
      </w:r>
      <w:r>
        <w:rPr>
          <w:sz w:val="24"/>
          <w:szCs w:val="32"/>
        </w:rPr>
        <w:t xml:space="preserve">.3  </w:t>
      </w:r>
      <w:r>
        <w:rPr>
          <w:rFonts w:hint="eastAsia"/>
          <w:sz w:val="24"/>
          <w:szCs w:val="32"/>
        </w:rPr>
        <w:t>北斗卫星授时交通预测模型组成</w:t>
      </w:r>
      <w:bookmarkEnd w:id="9"/>
      <w:bookmarkEnd w:id="10"/>
    </w:p>
    <w:p>
      <w:pPr>
        <w:pStyle w:val="8"/>
        <w:rPr>
          <w:sz w:val="24"/>
          <w:szCs w:val="32"/>
        </w:rPr>
      </w:pPr>
      <w:bookmarkStart w:id="11" w:name="_Toc157086329"/>
      <w:r>
        <w:rPr>
          <w:rFonts w:hint="eastAsia"/>
          <w:sz w:val="24"/>
          <w:szCs w:val="32"/>
        </w:rPr>
        <w:t>5</w:t>
      </w:r>
      <w:r>
        <w:rPr>
          <w:sz w:val="24"/>
          <w:szCs w:val="32"/>
        </w:rPr>
        <w:t xml:space="preserve">.3.1  </w:t>
      </w:r>
      <w:r>
        <w:rPr>
          <w:rFonts w:hint="eastAsia"/>
          <w:sz w:val="24"/>
          <w:szCs w:val="32"/>
        </w:rPr>
        <w:t>总体模型结构</w:t>
      </w:r>
      <w:bookmarkEnd w:id="11"/>
    </w:p>
    <w:p>
      <w:pPr>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32"/>
        </w:rPr>
      </w:pPr>
      <w:r>
        <w:rPr>
          <w:rFonts w:hint="eastAsia"/>
          <w:sz w:val="24"/>
          <w:szCs w:val="32"/>
        </w:rPr>
        <w:t>北斗授时的交通预测模型应采用流行的编码器解码器结构，总体数据流向为输入模块，编码器，解码器至输出模块。之外的模型结构可以根据需求灵活增加。模型内部结构方面应为时空解耦结构，将时间与空间方面信息分离，利用联邦学习将空间方面信息进行整合，实现性能更优的通用空间结构。</w:t>
      </w:r>
    </w:p>
    <w:p>
      <w:pPr>
        <w:pStyle w:val="8"/>
        <w:rPr>
          <w:sz w:val="24"/>
          <w:szCs w:val="32"/>
        </w:rPr>
      </w:pPr>
      <w:bookmarkStart w:id="12" w:name="_Toc157086330"/>
      <w:r>
        <w:rPr>
          <w:rFonts w:hint="eastAsia"/>
          <w:sz w:val="24"/>
          <w:szCs w:val="32"/>
        </w:rPr>
        <w:t>5</w:t>
      </w:r>
      <w:r>
        <w:rPr>
          <w:sz w:val="24"/>
          <w:szCs w:val="32"/>
        </w:rPr>
        <w:t xml:space="preserve">.3.2  </w:t>
      </w:r>
      <w:r>
        <w:rPr>
          <w:rFonts w:hint="eastAsia"/>
          <w:sz w:val="24"/>
          <w:szCs w:val="32"/>
        </w:rPr>
        <w:t>编码器结构</w:t>
      </w:r>
      <w:bookmarkEnd w:id="12"/>
    </w:p>
    <w:p>
      <w:pPr>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32"/>
        </w:rPr>
      </w:pPr>
      <w:r>
        <w:rPr>
          <w:rFonts w:hint="eastAsia"/>
          <w:sz w:val="24"/>
          <w:szCs w:val="32"/>
        </w:rPr>
        <w:t>采用北斗授时的交通预测模型解码器负责通过神经网络将输入模块输入的数据转换为中间隐藏层状态向量，等待进一步处理。编码器内部具体结构可以采用简单的模型结构以满足实时性要求，也可以采用复杂的模型来满足精确度要求。</w:t>
      </w:r>
    </w:p>
    <w:p>
      <w:pPr>
        <w:pStyle w:val="8"/>
        <w:rPr>
          <w:sz w:val="24"/>
          <w:szCs w:val="32"/>
        </w:rPr>
      </w:pPr>
      <w:bookmarkStart w:id="13" w:name="_Toc157086331"/>
      <w:r>
        <w:rPr>
          <w:rFonts w:hint="eastAsia"/>
          <w:sz w:val="24"/>
          <w:szCs w:val="32"/>
        </w:rPr>
        <w:t>5</w:t>
      </w:r>
      <w:r>
        <w:rPr>
          <w:sz w:val="24"/>
          <w:szCs w:val="32"/>
        </w:rPr>
        <w:t xml:space="preserve">.3.3  </w:t>
      </w:r>
      <w:r>
        <w:rPr>
          <w:rFonts w:hint="eastAsia"/>
          <w:sz w:val="24"/>
          <w:szCs w:val="32"/>
        </w:rPr>
        <w:t>解码器结构</w:t>
      </w:r>
      <w:bookmarkEnd w:id="13"/>
    </w:p>
    <w:p>
      <w:pPr>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32"/>
        </w:rPr>
      </w:pPr>
      <w:r>
        <w:rPr>
          <w:rFonts w:hint="eastAsia"/>
          <w:sz w:val="24"/>
          <w:szCs w:val="32"/>
        </w:rPr>
        <w:t>采用北斗授时的交通预测模型编码器负责通过神经网络将解码器模块输入的隐藏层状态向量转换为后续隐藏层状态向量，最后由输出层神经网络将隐藏层状态向量转换为预测结果。解码器内部具体结构和编码器一样，可以采用简单的模型结构以满足实时性要求，也可以采用复杂的模型来满足精确度要求。</w:t>
      </w:r>
    </w:p>
    <w:p>
      <w:pPr>
        <w:pStyle w:val="8"/>
        <w:rPr>
          <w:sz w:val="24"/>
          <w:szCs w:val="32"/>
        </w:rPr>
      </w:pPr>
      <w:r>
        <w:rPr>
          <w:rFonts w:hint="eastAsia"/>
          <w:sz w:val="24"/>
          <w:szCs w:val="32"/>
        </w:rPr>
        <w:t>5</w:t>
      </w:r>
      <w:r>
        <w:rPr>
          <w:sz w:val="24"/>
          <w:szCs w:val="32"/>
        </w:rPr>
        <w:t xml:space="preserve">.3.3  </w:t>
      </w:r>
      <w:r>
        <w:rPr>
          <w:rFonts w:hint="eastAsia"/>
          <w:sz w:val="24"/>
          <w:szCs w:val="32"/>
        </w:rPr>
        <w:t>联邦学习框架结构</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32"/>
        </w:rPr>
      </w:pPr>
      <w:r>
        <w:rPr>
          <w:rFonts w:hint="eastAsia"/>
          <w:sz w:val="24"/>
          <w:szCs w:val="32"/>
        </w:rPr>
        <w:t>在不同地区收集的多个数据集上进行联邦学习，对于各个联邦学习客户端要求保持模型结构一致，并且具备相互之间的通信能力，对于中心聚合服务器要求具有与各个终端的通信能力，并且要求具有足够的计算能力，满足对客户端所上传的部分模型的聚合和梯度计算功能。</w:t>
      </w:r>
    </w:p>
    <w:p>
      <w:pPr>
        <w:pStyle w:val="7"/>
        <w:rPr>
          <w:sz w:val="24"/>
          <w:szCs w:val="32"/>
        </w:rPr>
      </w:pPr>
      <w:bookmarkStart w:id="14" w:name="_Toc157087524"/>
      <w:bookmarkStart w:id="15" w:name="_Toc157086332"/>
      <w:r>
        <w:rPr>
          <w:rFonts w:hint="eastAsia"/>
          <w:sz w:val="24"/>
          <w:szCs w:val="32"/>
        </w:rPr>
        <w:t>5</w:t>
      </w:r>
      <w:r>
        <w:rPr>
          <w:sz w:val="24"/>
          <w:szCs w:val="32"/>
        </w:rPr>
        <w:t xml:space="preserve">.4  </w:t>
      </w:r>
      <w:r>
        <w:rPr>
          <w:rFonts w:hint="eastAsia"/>
          <w:sz w:val="24"/>
          <w:szCs w:val="32"/>
        </w:rPr>
        <w:t>北斗卫星授时交通预测模型接口组成</w:t>
      </w:r>
      <w:bookmarkEnd w:id="14"/>
      <w:bookmarkEnd w:id="15"/>
    </w:p>
    <w:p>
      <w:pPr>
        <w:pStyle w:val="8"/>
        <w:rPr>
          <w:sz w:val="24"/>
          <w:szCs w:val="32"/>
        </w:rPr>
      </w:pPr>
      <w:bookmarkStart w:id="16" w:name="_Toc157086333"/>
      <w:r>
        <w:rPr>
          <w:rFonts w:hint="eastAsia"/>
          <w:sz w:val="24"/>
          <w:szCs w:val="32"/>
        </w:rPr>
        <w:t>5</w:t>
      </w:r>
      <w:r>
        <w:rPr>
          <w:sz w:val="24"/>
          <w:szCs w:val="32"/>
        </w:rPr>
        <w:t xml:space="preserve">.4.1  </w:t>
      </w:r>
      <w:r>
        <w:rPr>
          <w:rFonts w:hint="eastAsia"/>
          <w:sz w:val="24"/>
          <w:szCs w:val="32"/>
        </w:rPr>
        <w:t>北斗卫星授时信息输入及其他传感器接口</w:t>
      </w:r>
      <w:bookmarkEnd w:id="16"/>
    </w:p>
    <w:p>
      <w:pPr>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32"/>
        </w:rPr>
      </w:pPr>
      <w:r>
        <w:rPr>
          <w:rFonts w:hint="eastAsia"/>
          <w:sz w:val="24"/>
          <w:szCs w:val="32"/>
        </w:rPr>
        <w:t>采用北斗授时的交通预测模型所使用的授时信息输入接口应输入由北斗卫星授时终端输出的时间信息，对于授时终端除了时间格式与精度外不做要求。</w:t>
      </w:r>
    </w:p>
    <w:p>
      <w:pPr>
        <w:rPr>
          <w:sz w:val="24"/>
          <w:szCs w:val="32"/>
        </w:rPr>
      </w:pPr>
      <w:r>
        <w:rPr>
          <w:rFonts w:hint="eastAsia"/>
          <w:sz w:val="24"/>
          <w:szCs w:val="32"/>
        </w:rPr>
        <w:t>其他传感器接口负责接收由其他传感器输入的信息，例如车速和天气等预测模型需要用到的信息。</w:t>
      </w:r>
    </w:p>
    <w:p>
      <w:pPr>
        <w:pStyle w:val="8"/>
        <w:rPr>
          <w:sz w:val="24"/>
          <w:szCs w:val="32"/>
        </w:rPr>
      </w:pPr>
      <w:bookmarkStart w:id="17" w:name="_Toc157086334"/>
      <w:r>
        <w:rPr>
          <w:rFonts w:hint="eastAsia"/>
          <w:sz w:val="24"/>
          <w:szCs w:val="32"/>
        </w:rPr>
        <w:t>5</w:t>
      </w:r>
      <w:r>
        <w:rPr>
          <w:sz w:val="24"/>
          <w:szCs w:val="32"/>
        </w:rPr>
        <w:t xml:space="preserve">.4.2  </w:t>
      </w:r>
      <w:r>
        <w:rPr>
          <w:rFonts w:hint="eastAsia"/>
          <w:sz w:val="24"/>
          <w:szCs w:val="32"/>
        </w:rPr>
        <w:t>模型输入接口</w:t>
      </w:r>
      <w:bookmarkEnd w:id="17"/>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eastAsia="Yu Mincho"/>
          <w:sz w:val="24"/>
          <w:szCs w:val="32"/>
        </w:rPr>
      </w:pPr>
      <w:r>
        <w:rPr>
          <w:rFonts w:hint="eastAsia"/>
          <w:sz w:val="24"/>
          <w:szCs w:val="32"/>
        </w:rPr>
        <w:t>采用北斗授时的交通预测模型的模型输入接口负责将北斗卫星授时终端经收拾信息输入接口输入的时间信息与其他传感器输入的信息组合并处理，准备交由机器学习模型进行处理。</w:t>
      </w:r>
    </w:p>
    <w:p>
      <w:pPr>
        <w:pStyle w:val="8"/>
        <w:rPr>
          <w:sz w:val="24"/>
          <w:szCs w:val="32"/>
        </w:rPr>
      </w:pPr>
      <w:bookmarkStart w:id="18" w:name="_Toc157086335"/>
      <w:r>
        <w:rPr>
          <w:rFonts w:hint="eastAsia"/>
          <w:sz w:val="24"/>
          <w:szCs w:val="32"/>
        </w:rPr>
        <w:t>5</w:t>
      </w:r>
      <w:r>
        <w:rPr>
          <w:sz w:val="24"/>
          <w:szCs w:val="32"/>
        </w:rPr>
        <w:t xml:space="preserve">.4.3  </w:t>
      </w:r>
      <w:r>
        <w:rPr>
          <w:rFonts w:hint="eastAsia"/>
          <w:sz w:val="24"/>
          <w:szCs w:val="32"/>
        </w:rPr>
        <w:t>模型输出接口</w:t>
      </w:r>
      <w:bookmarkEnd w:id="18"/>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32"/>
          <w:lang w:eastAsia="zh-CN"/>
        </w:rPr>
      </w:pPr>
      <w:r>
        <w:rPr>
          <w:rFonts w:hint="eastAsia"/>
          <w:sz w:val="24"/>
          <w:szCs w:val="32"/>
        </w:rPr>
        <w:t>采用北斗授时的交通预测模型的模型输出接口负责将模型处理后的预测值进行后处理，并进行后续的展示或存储工作</w:t>
      </w:r>
      <w:r>
        <w:rPr>
          <w:rFonts w:hint="eastAsia"/>
          <w:sz w:val="24"/>
          <w:szCs w:val="32"/>
          <w:lang w:eastAsia="zh-CN"/>
        </w:rPr>
        <w: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32"/>
          <w:lang w:eastAsia="zh-CN"/>
        </w:rPr>
      </w:pPr>
    </w:p>
    <w:p>
      <w:pPr>
        <w:pStyle w:val="6"/>
        <w:rPr>
          <w:sz w:val="24"/>
          <w:szCs w:val="32"/>
        </w:rPr>
      </w:pPr>
      <w:bookmarkStart w:id="19" w:name="_Toc157086336"/>
      <w:bookmarkStart w:id="20" w:name="_Toc157087525"/>
      <w:r>
        <w:rPr>
          <w:rFonts w:hint="eastAsia"/>
          <w:sz w:val="24"/>
          <w:szCs w:val="32"/>
        </w:rPr>
        <w:t>6</w:t>
      </w:r>
      <w:r>
        <w:rPr>
          <w:sz w:val="24"/>
          <w:szCs w:val="32"/>
        </w:rPr>
        <w:t xml:space="preserve">  </w:t>
      </w:r>
      <w:r>
        <w:rPr>
          <w:rFonts w:hint="eastAsia"/>
          <w:sz w:val="24"/>
          <w:szCs w:val="32"/>
        </w:rPr>
        <w:t>技术要求</w:t>
      </w:r>
      <w:bookmarkEnd w:id="19"/>
      <w:bookmarkEnd w:id="20"/>
    </w:p>
    <w:p>
      <w:pPr>
        <w:pStyle w:val="7"/>
        <w:rPr>
          <w:sz w:val="24"/>
          <w:szCs w:val="32"/>
        </w:rPr>
      </w:pPr>
      <w:bookmarkStart w:id="21" w:name="_Toc157086337"/>
      <w:bookmarkStart w:id="22" w:name="_Toc157087526"/>
      <w:r>
        <w:rPr>
          <w:rFonts w:hint="eastAsia"/>
          <w:sz w:val="24"/>
          <w:szCs w:val="32"/>
        </w:rPr>
        <w:t>6</w:t>
      </w:r>
      <w:r>
        <w:rPr>
          <w:sz w:val="24"/>
          <w:szCs w:val="32"/>
        </w:rPr>
        <w:t xml:space="preserve">.1  </w:t>
      </w:r>
      <w:r>
        <w:rPr>
          <w:rFonts w:hint="eastAsia"/>
          <w:sz w:val="24"/>
          <w:szCs w:val="32"/>
        </w:rPr>
        <w:t>时钟单元接口</w:t>
      </w:r>
      <w:bookmarkEnd w:id="21"/>
      <w:bookmarkEnd w:id="22"/>
    </w:p>
    <w:p>
      <w:pPr>
        <w:pStyle w:val="8"/>
        <w:rPr>
          <w:sz w:val="24"/>
          <w:szCs w:val="32"/>
        </w:rPr>
      </w:pPr>
      <w:bookmarkStart w:id="23" w:name="_Toc157086338"/>
      <w:r>
        <w:rPr>
          <w:rFonts w:hint="eastAsia"/>
          <w:sz w:val="24"/>
          <w:szCs w:val="32"/>
        </w:rPr>
        <w:t>6.</w:t>
      </w:r>
      <w:r>
        <w:rPr>
          <w:sz w:val="24"/>
          <w:szCs w:val="32"/>
        </w:rPr>
        <w:t xml:space="preserve">1.1  </w:t>
      </w:r>
      <w:r>
        <w:rPr>
          <w:rFonts w:hint="eastAsia"/>
          <w:sz w:val="24"/>
          <w:szCs w:val="32"/>
        </w:rPr>
        <w:t>时间输出接口</w:t>
      </w:r>
      <w:bookmarkEnd w:id="23"/>
    </w:p>
    <w:p>
      <w:pPr>
        <w:rPr>
          <w:sz w:val="24"/>
          <w:szCs w:val="32"/>
        </w:rPr>
      </w:pPr>
      <w:r>
        <w:rPr>
          <w:rFonts w:hint="eastAsia"/>
          <w:sz w:val="24"/>
          <w:szCs w:val="32"/>
        </w:rPr>
        <w:t>采用北斗授时的交通预测模型应采用流行的编码器解码器结构，总体数据流向为输入模块，编码器，解码器至输出模块。之外的模型结构可以根据需求灵活增加。</w:t>
      </w:r>
    </w:p>
    <w:p>
      <w:pPr>
        <w:pStyle w:val="7"/>
        <w:rPr>
          <w:sz w:val="24"/>
          <w:szCs w:val="32"/>
        </w:rPr>
      </w:pPr>
      <w:bookmarkStart w:id="24" w:name="_Toc157086339"/>
      <w:bookmarkStart w:id="25" w:name="_Toc157087527"/>
      <w:r>
        <w:rPr>
          <w:sz w:val="24"/>
          <w:szCs w:val="32"/>
        </w:rPr>
        <w:t>6</w:t>
      </w:r>
      <w:r>
        <w:rPr>
          <w:rFonts w:hint="eastAsia"/>
          <w:sz w:val="24"/>
          <w:szCs w:val="32"/>
        </w:rPr>
        <w:t>.</w:t>
      </w:r>
      <w:r>
        <w:rPr>
          <w:sz w:val="24"/>
          <w:szCs w:val="32"/>
        </w:rPr>
        <w:t xml:space="preserve">2  </w:t>
      </w:r>
      <w:r>
        <w:rPr>
          <w:rFonts w:hint="eastAsia"/>
          <w:sz w:val="24"/>
          <w:szCs w:val="32"/>
        </w:rPr>
        <w:t>预测模型单元</w:t>
      </w:r>
      <w:bookmarkEnd w:id="24"/>
      <w:bookmarkEnd w:id="25"/>
    </w:p>
    <w:p>
      <w:pPr>
        <w:pStyle w:val="8"/>
        <w:rPr>
          <w:sz w:val="24"/>
          <w:szCs w:val="32"/>
        </w:rPr>
      </w:pPr>
      <w:bookmarkStart w:id="26" w:name="_Toc157086340"/>
      <w:r>
        <w:rPr>
          <w:sz w:val="24"/>
          <w:szCs w:val="32"/>
        </w:rPr>
        <w:t xml:space="preserve">6.2.1  </w:t>
      </w:r>
      <w:r>
        <w:rPr>
          <w:rFonts w:hint="eastAsia"/>
          <w:sz w:val="24"/>
          <w:szCs w:val="32"/>
        </w:rPr>
        <w:t>预测模型单元对时间输出接口的要求</w:t>
      </w:r>
      <w:bookmarkEnd w:id="26"/>
    </w:p>
    <w:p>
      <w:pPr>
        <w:pStyle w:val="8"/>
        <w:rPr>
          <w:sz w:val="24"/>
          <w:szCs w:val="32"/>
        </w:rPr>
      </w:pPr>
      <w:bookmarkStart w:id="27" w:name="_Toc157086341"/>
      <w:r>
        <w:rPr>
          <w:rFonts w:hint="eastAsia"/>
          <w:sz w:val="24"/>
          <w:szCs w:val="32"/>
        </w:rPr>
        <w:t>6</w:t>
      </w:r>
      <w:r>
        <w:rPr>
          <w:sz w:val="24"/>
          <w:szCs w:val="32"/>
        </w:rPr>
        <w:t xml:space="preserve">.2.2  </w:t>
      </w:r>
      <w:r>
        <w:rPr>
          <w:rFonts w:hint="eastAsia"/>
          <w:sz w:val="24"/>
          <w:szCs w:val="32"/>
        </w:rPr>
        <w:t>预测模型单元与时钟单元的信息交互</w:t>
      </w:r>
      <w:bookmarkEnd w:id="27"/>
    </w:p>
    <w:p>
      <w:pPr>
        <w:pStyle w:val="8"/>
        <w:rPr>
          <w:sz w:val="24"/>
          <w:szCs w:val="32"/>
        </w:rPr>
      </w:pPr>
      <w:bookmarkStart w:id="28" w:name="_Toc157086342"/>
      <w:r>
        <w:rPr>
          <w:rFonts w:hint="eastAsia"/>
          <w:sz w:val="24"/>
          <w:szCs w:val="32"/>
        </w:rPr>
        <w:t>6</w:t>
      </w:r>
      <w:r>
        <w:rPr>
          <w:sz w:val="24"/>
          <w:szCs w:val="32"/>
        </w:rPr>
        <w:t xml:space="preserve">.2.3  </w:t>
      </w:r>
      <w:r>
        <w:rPr>
          <w:rFonts w:hint="eastAsia"/>
          <w:sz w:val="24"/>
          <w:szCs w:val="32"/>
        </w:rPr>
        <w:t>模型输入接口</w:t>
      </w:r>
      <w:bookmarkEnd w:id="28"/>
    </w:p>
    <w:p>
      <w:pPr>
        <w:pStyle w:val="8"/>
        <w:rPr>
          <w:sz w:val="24"/>
          <w:szCs w:val="32"/>
        </w:rPr>
      </w:pPr>
      <w:bookmarkStart w:id="29" w:name="_Toc157086343"/>
      <w:r>
        <w:rPr>
          <w:rFonts w:hint="eastAsia"/>
          <w:sz w:val="24"/>
          <w:szCs w:val="32"/>
        </w:rPr>
        <w:t>6</w:t>
      </w:r>
      <w:r>
        <w:rPr>
          <w:sz w:val="24"/>
          <w:szCs w:val="32"/>
        </w:rPr>
        <w:t xml:space="preserve">.2.4  </w:t>
      </w:r>
      <w:r>
        <w:rPr>
          <w:rFonts w:hint="eastAsia"/>
          <w:sz w:val="24"/>
          <w:szCs w:val="32"/>
        </w:rPr>
        <w:t>编码器对模型输入接口的要求</w:t>
      </w:r>
      <w:bookmarkEnd w:id="29"/>
    </w:p>
    <w:p>
      <w:pPr>
        <w:pStyle w:val="8"/>
        <w:rPr>
          <w:sz w:val="24"/>
          <w:szCs w:val="32"/>
        </w:rPr>
      </w:pPr>
      <w:bookmarkStart w:id="30" w:name="_Toc157086344"/>
      <w:r>
        <w:rPr>
          <w:rFonts w:hint="eastAsia"/>
          <w:sz w:val="24"/>
          <w:szCs w:val="32"/>
        </w:rPr>
        <w:t>6</w:t>
      </w:r>
      <w:r>
        <w:rPr>
          <w:sz w:val="24"/>
          <w:szCs w:val="32"/>
        </w:rPr>
        <w:t xml:space="preserve">.2.5  </w:t>
      </w:r>
      <w:r>
        <w:rPr>
          <w:rFonts w:hint="eastAsia"/>
          <w:sz w:val="24"/>
          <w:szCs w:val="32"/>
        </w:rPr>
        <w:t>编码器</w:t>
      </w:r>
      <w:bookmarkEnd w:id="30"/>
    </w:p>
    <w:p>
      <w:pPr>
        <w:pStyle w:val="8"/>
        <w:rPr>
          <w:sz w:val="24"/>
          <w:szCs w:val="32"/>
        </w:rPr>
      </w:pPr>
      <w:bookmarkStart w:id="31" w:name="_Toc157086345"/>
      <w:r>
        <w:rPr>
          <w:rFonts w:hint="eastAsia"/>
          <w:sz w:val="24"/>
          <w:szCs w:val="32"/>
        </w:rPr>
        <w:t>6</w:t>
      </w:r>
      <w:r>
        <w:rPr>
          <w:sz w:val="24"/>
          <w:szCs w:val="32"/>
        </w:rPr>
        <w:t xml:space="preserve">.2.6  </w:t>
      </w:r>
      <w:r>
        <w:rPr>
          <w:rFonts w:hint="eastAsia"/>
          <w:sz w:val="24"/>
          <w:szCs w:val="32"/>
        </w:rPr>
        <w:t>解码器对编码器的要求</w:t>
      </w:r>
      <w:bookmarkEnd w:id="31"/>
    </w:p>
    <w:p>
      <w:pPr>
        <w:pStyle w:val="8"/>
        <w:rPr>
          <w:sz w:val="24"/>
          <w:szCs w:val="32"/>
        </w:rPr>
      </w:pPr>
      <w:bookmarkStart w:id="32" w:name="_Toc157086346"/>
      <w:r>
        <w:rPr>
          <w:sz w:val="24"/>
          <w:szCs w:val="32"/>
        </w:rPr>
        <w:t>6.2</w:t>
      </w:r>
      <w:r>
        <w:rPr>
          <w:rFonts w:hint="eastAsia"/>
          <w:sz w:val="24"/>
          <w:szCs w:val="32"/>
        </w:rPr>
        <w:t>.</w:t>
      </w:r>
      <w:r>
        <w:rPr>
          <w:sz w:val="24"/>
          <w:szCs w:val="32"/>
        </w:rPr>
        <w:t xml:space="preserve">7  </w:t>
      </w:r>
      <w:r>
        <w:rPr>
          <w:rFonts w:hint="eastAsia"/>
          <w:sz w:val="24"/>
          <w:szCs w:val="32"/>
        </w:rPr>
        <w:t>解码器</w:t>
      </w:r>
      <w:bookmarkEnd w:id="32"/>
    </w:p>
    <w:p>
      <w:pPr>
        <w:pStyle w:val="8"/>
        <w:rPr>
          <w:sz w:val="24"/>
          <w:szCs w:val="32"/>
        </w:rPr>
      </w:pPr>
      <w:bookmarkStart w:id="33" w:name="_Toc157086347"/>
      <w:r>
        <w:rPr>
          <w:rFonts w:hint="eastAsia"/>
          <w:sz w:val="24"/>
          <w:szCs w:val="32"/>
        </w:rPr>
        <w:t>6</w:t>
      </w:r>
      <w:r>
        <w:rPr>
          <w:sz w:val="24"/>
          <w:szCs w:val="32"/>
        </w:rPr>
        <w:t xml:space="preserve">.2.8  </w:t>
      </w:r>
      <w:r>
        <w:rPr>
          <w:rFonts w:hint="eastAsia"/>
          <w:sz w:val="24"/>
          <w:szCs w:val="32"/>
        </w:rPr>
        <w:t>模型输出接口对解码器的要求</w:t>
      </w:r>
      <w:bookmarkEnd w:id="33"/>
    </w:p>
    <w:p>
      <w:pPr>
        <w:pStyle w:val="8"/>
        <w:rPr>
          <w:sz w:val="24"/>
          <w:szCs w:val="32"/>
        </w:rPr>
      </w:pPr>
      <w:bookmarkStart w:id="34" w:name="_Toc157086348"/>
      <w:r>
        <w:rPr>
          <w:rFonts w:hint="eastAsia"/>
          <w:sz w:val="24"/>
          <w:szCs w:val="32"/>
        </w:rPr>
        <w:t>6.</w:t>
      </w:r>
      <w:r>
        <w:rPr>
          <w:sz w:val="24"/>
          <w:szCs w:val="32"/>
        </w:rPr>
        <w:t xml:space="preserve">2.9  </w:t>
      </w:r>
      <w:r>
        <w:rPr>
          <w:rFonts w:hint="eastAsia"/>
          <w:sz w:val="24"/>
          <w:szCs w:val="32"/>
        </w:rPr>
        <w:t>模型输出接口</w:t>
      </w:r>
      <w:bookmarkEnd w:id="34"/>
    </w:p>
    <w:p>
      <w:pPr>
        <w:pStyle w:val="7"/>
        <w:rPr>
          <w:sz w:val="24"/>
          <w:szCs w:val="32"/>
        </w:rPr>
      </w:pPr>
      <w:bookmarkStart w:id="35" w:name="_Toc157086349"/>
      <w:bookmarkStart w:id="36" w:name="_Toc157087528"/>
      <w:r>
        <w:rPr>
          <w:rFonts w:hint="eastAsia"/>
          <w:sz w:val="24"/>
          <w:szCs w:val="32"/>
        </w:rPr>
        <w:t>6</w:t>
      </w:r>
      <w:r>
        <w:rPr>
          <w:sz w:val="24"/>
          <w:szCs w:val="32"/>
        </w:rPr>
        <w:t xml:space="preserve">.3  </w:t>
      </w:r>
      <w:r>
        <w:rPr>
          <w:rFonts w:hint="eastAsia"/>
          <w:sz w:val="24"/>
          <w:szCs w:val="32"/>
        </w:rPr>
        <w:t>联邦学习分布式部署</w:t>
      </w:r>
      <w:bookmarkEnd w:id="35"/>
      <w:bookmarkEnd w:id="36"/>
    </w:p>
    <w:p>
      <w:pPr>
        <w:pStyle w:val="8"/>
        <w:rPr>
          <w:sz w:val="24"/>
          <w:szCs w:val="32"/>
        </w:rPr>
      </w:pPr>
      <w:bookmarkStart w:id="37" w:name="_Toc157086350"/>
      <w:r>
        <w:rPr>
          <w:rFonts w:hint="eastAsia"/>
          <w:sz w:val="24"/>
          <w:szCs w:val="32"/>
        </w:rPr>
        <w:t>6</w:t>
      </w:r>
      <w:r>
        <w:rPr>
          <w:sz w:val="24"/>
          <w:szCs w:val="32"/>
        </w:rPr>
        <w:t xml:space="preserve">.3.1  </w:t>
      </w:r>
      <w:r>
        <w:rPr>
          <w:rFonts w:hint="eastAsia"/>
          <w:sz w:val="24"/>
          <w:szCs w:val="32"/>
        </w:rPr>
        <w:t>数据集</w:t>
      </w:r>
      <w:bookmarkEnd w:id="37"/>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eastAsiaTheme="minorEastAsia"/>
          <w:sz w:val="24"/>
          <w:szCs w:val="32"/>
          <w:lang w:eastAsia="zh-CN"/>
        </w:rPr>
      </w:pPr>
      <w:r>
        <w:rPr>
          <w:rFonts w:hint="eastAsia"/>
          <w:sz w:val="24"/>
          <w:szCs w:val="32"/>
        </w:rPr>
        <w:t>采用的联邦学习架构中，不同客户端分布于不同地区，所采集的原始数据应当经过预处理转换为格式一致的数据</w:t>
      </w:r>
      <w:r>
        <w:rPr>
          <w:rFonts w:hint="eastAsia"/>
          <w:sz w:val="24"/>
          <w:szCs w:val="32"/>
          <w:lang w:eastAsia="zh-CN"/>
        </w:rPr>
        <w:t>。</w:t>
      </w:r>
    </w:p>
    <w:p>
      <w:pPr>
        <w:pStyle w:val="8"/>
        <w:rPr>
          <w:sz w:val="24"/>
          <w:szCs w:val="32"/>
        </w:rPr>
      </w:pPr>
      <w:bookmarkStart w:id="38" w:name="_Toc157086351"/>
      <w:r>
        <w:rPr>
          <w:rFonts w:hint="eastAsia"/>
          <w:sz w:val="24"/>
          <w:szCs w:val="32"/>
        </w:rPr>
        <w:t>6</w:t>
      </w:r>
      <w:r>
        <w:rPr>
          <w:sz w:val="24"/>
          <w:szCs w:val="32"/>
        </w:rPr>
        <w:t xml:space="preserve">.3.2  </w:t>
      </w:r>
      <w:r>
        <w:rPr>
          <w:rFonts w:hint="eastAsia"/>
          <w:sz w:val="24"/>
          <w:szCs w:val="32"/>
        </w:rPr>
        <w:t>聚合服务器</w:t>
      </w:r>
      <w:bookmarkEnd w:id="38"/>
    </w:p>
    <w:p>
      <w:pPr>
        <w:keepNext w:val="0"/>
        <w:keepLines w:val="0"/>
        <w:pageBreakBefore w:val="0"/>
        <w:widowControl w:val="0"/>
        <w:kinsoku/>
        <w:wordWrap/>
        <w:overflowPunct/>
        <w:topLinePunct w:val="0"/>
        <w:autoSpaceDE/>
        <w:autoSpaceDN/>
        <w:bidi w:val="0"/>
        <w:adjustRightInd/>
        <w:snapToGrid/>
        <w:ind w:firstLine="480" w:firstLineChars="200"/>
        <w:textAlignment w:val="auto"/>
        <w:rPr>
          <w:sz w:val="24"/>
          <w:szCs w:val="32"/>
        </w:rPr>
      </w:pPr>
      <w:r>
        <w:rPr>
          <w:sz w:val="24"/>
          <w:szCs w:val="32"/>
        </w:rPr>
        <w:t>联邦学习聚合服务器负责在联邦学习客户端</w:t>
      </w:r>
      <w:r>
        <w:rPr>
          <w:rFonts w:hint="eastAsia"/>
          <w:sz w:val="24"/>
          <w:szCs w:val="32"/>
        </w:rPr>
        <w:t>完成本地训练后将客户端上传的模型权重进行聚合并进行梯度更新，因此需要一定的聚合能力数据吞吐能力。在完成聚合后将聚合后的模型权重重新分发给每一个客户端，继续等待客户端上传模型进行下一轮训练。</w:t>
      </w:r>
    </w:p>
    <w:p>
      <w:pPr>
        <w:pStyle w:val="8"/>
        <w:rPr>
          <w:sz w:val="24"/>
          <w:szCs w:val="32"/>
        </w:rPr>
      </w:pPr>
      <w:bookmarkStart w:id="39" w:name="_Toc157086352"/>
      <w:r>
        <w:rPr>
          <w:rFonts w:hint="eastAsia"/>
          <w:sz w:val="24"/>
          <w:szCs w:val="32"/>
        </w:rPr>
        <w:t>6</w:t>
      </w:r>
      <w:r>
        <w:rPr>
          <w:sz w:val="24"/>
          <w:szCs w:val="32"/>
        </w:rPr>
        <w:t xml:space="preserve">.3.3  </w:t>
      </w:r>
      <w:bookmarkEnd w:id="39"/>
      <w:r>
        <w:rPr>
          <w:rFonts w:hint="eastAsia"/>
          <w:sz w:val="24"/>
          <w:szCs w:val="32"/>
        </w:rPr>
        <w:t>联邦学习客户端</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eastAsiaTheme="minorEastAsia"/>
          <w:lang w:eastAsia="zh-CN"/>
        </w:rPr>
      </w:pPr>
      <w:r>
        <w:rPr>
          <w:sz w:val="24"/>
          <w:szCs w:val="32"/>
        </w:rPr>
        <w:t>联邦学习客户端负责对本地数据进行学习并进行梯度更新，完成本地训练后通过网络或者其他通信方式将可融合部分模型参数上传至聚合服务器，由聚合服务器完成聚合操作后将聚合后模型返回至客户端继续下一轮训练</w:t>
      </w:r>
      <w:r>
        <w:rPr>
          <w:rFonts w:hint="eastAsia"/>
          <w:sz w:val="24"/>
          <w:szCs w:val="32"/>
          <w:lang w:eastAsia="zh-CN"/>
        </w:rPr>
        <w:t>。</w:t>
      </w:r>
    </w:p>
    <w:p>
      <w:pPr>
        <w:rPr>
          <w:rFonts w:hint="eastAsia" w:ascii="微软雅黑" w:hAnsi="微软雅黑" w:eastAsia="微软雅黑" w:cs="微软雅黑"/>
          <w:sz w:val="24"/>
          <w:szCs w:val="32"/>
          <w:lang w:val="en-US" w:eastAsia="zh-CN"/>
        </w:rPr>
      </w:pPr>
    </w:p>
    <w:p>
      <w:pPr>
        <w:rPr>
          <w:rFonts w:hint="default" w:ascii="微软雅黑" w:hAnsi="微软雅黑" w:eastAsia="微软雅黑" w:cs="微软雅黑"/>
          <w:sz w:val="24"/>
          <w:szCs w:val="32"/>
          <w:lang w:val="en-US" w:eastAsia="zh-CN"/>
        </w:rPr>
      </w:pPr>
      <w:r>
        <w:rPr>
          <w:rFonts w:hint="default" w:ascii="微软雅黑" w:hAnsi="微软雅黑" w:eastAsia="微软雅黑" w:cs="微软雅黑"/>
          <w:sz w:val="24"/>
          <w:szCs w:val="32"/>
          <w:lang w:val="en-US" w:eastAsia="zh-CN"/>
        </w:rPr>
        <w:br w:type="page"/>
      </w:r>
    </w:p>
    <w:p>
      <w:pPr>
        <w:rPr>
          <w:rFonts w:hint="eastAsia" w:ascii="微软雅黑" w:hAnsi="微软雅黑" w:eastAsia="微软雅黑" w:cs="微软雅黑"/>
          <w:sz w:val="24"/>
          <w:szCs w:val="32"/>
          <w:lang w:val="en-US" w:eastAsia="zh-CN"/>
        </w:rPr>
      </w:pPr>
      <w:r>
        <w:rPr>
          <w:rFonts w:hint="eastAsia" w:ascii="微软雅黑" w:hAnsi="微软雅黑" w:eastAsia="微软雅黑" w:cs="微软雅黑"/>
          <w:sz w:val="24"/>
          <w:szCs w:val="32"/>
          <w:lang w:val="en-US" w:eastAsia="zh-CN"/>
        </w:rPr>
        <w:t>附件2：</w:t>
      </w:r>
    </w:p>
    <w:p>
      <w:pPr>
        <w:jc w:val="center"/>
        <w:rPr>
          <w:rFonts w:hint="eastAsia" w:ascii="黑体" w:eastAsia="黑体"/>
          <w:b/>
          <w:sz w:val="30"/>
          <w:szCs w:val="30"/>
        </w:rPr>
      </w:pPr>
      <w:r>
        <w:rPr>
          <w:rFonts w:hint="eastAsia" w:ascii="黑体" w:eastAsia="黑体"/>
          <w:sz w:val="30"/>
          <w:szCs w:val="30"/>
        </w:rPr>
        <w:t>标准参编申请单位信息登记表</w:t>
      </w:r>
    </w:p>
    <w:tbl>
      <w:tblPr>
        <w:tblStyle w:val="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5"/>
        <w:gridCol w:w="4080"/>
        <w:gridCol w:w="866"/>
        <w:gridCol w:w="14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jc w:val="center"/>
        </w:trPr>
        <w:tc>
          <w:tcPr>
            <w:tcW w:w="1241" w:type="pct"/>
            <w:shd w:val="clear" w:color="auto" w:fill="auto"/>
            <w:noWrap w:val="0"/>
            <w:vAlign w:val="center"/>
          </w:tcPr>
          <w:p>
            <w:pPr>
              <w:spacing w:line="240" w:lineRule="auto"/>
              <w:jc w:val="center"/>
              <w:rPr>
                <w:rFonts w:hint="eastAsia" w:ascii="黑体" w:eastAsia="黑体"/>
                <w:color w:val="000000"/>
                <w:sz w:val="24"/>
                <w:szCs w:val="24"/>
              </w:rPr>
            </w:pPr>
            <w:r>
              <w:rPr>
                <w:rFonts w:hint="eastAsia" w:ascii="黑体" w:eastAsia="黑体"/>
                <w:color w:val="000000"/>
                <w:sz w:val="24"/>
                <w:szCs w:val="24"/>
              </w:rPr>
              <w:t>申请参编</w:t>
            </w:r>
          </w:p>
          <w:p>
            <w:pPr>
              <w:spacing w:line="240" w:lineRule="auto"/>
              <w:jc w:val="center"/>
              <w:rPr>
                <w:rFonts w:hint="eastAsia" w:ascii="黑体" w:eastAsia="黑体"/>
                <w:color w:val="000000"/>
                <w:sz w:val="24"/>
                <w:szCs w:val="24"/>
              </w:rPr>
            </w:pPr>
            <w:r>
              <w:rPr>
                <w:rFonts w:hint="eastAsia" w:ascii="黑体" w:eastAsia="黑体"/>
                <w:color w:val="000000"/>
                <w:sz w:val="24"/>
                <w:szCs w:val="24"/>
              </w:rPr>
              <w:t>标准名称</w:t>
            </w:r>
          </w:p>
        </w:tc>
        <w:tc>
          <w:tcPr>
            <w:tcW w:w="3758" w:type="pct"/>
            <w:gridSpan w:val="3"/>
            <w:shd w:val="clear" w:color="auto" w:fill="auto"/>
            <w:noWrap w:val="0"/>
            <w:vAlign w:val="center"/>
          </w:tcPr>
          <w:p>
            <w:pPr>
              <w:spacing w:line="360" w:lineRule="exact"/>
              <w:jc w:val="center"/>
              <w:rPr>
                <w:rFonts w:hint="eastAsia" w:ascii="黑体" w:eastAsia="黑体"/>
                <w:sz w:val="24"/>
              </w:rPr>
            </w:pPr>
            <w:r>
              <w:rPr>
                <w:rFonts w:hint="eastAsia" w:ascii="微软雅黑" w:hAnsi="微软雅黑" w:eastAsia="微软雅黑" w:cs="微软雅黑"/>
                <w:sz w:val="24"/>
                <w:szCs w:val="32"/>
                <w:lang w:val="en-US" w:eastAsia="zh-CN"/>
              </w:rPr>
              <w:t>T/SZSA 033-2024 基于北斗授时的智慧交通流量预测系统技术规范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1" w:type="pct"/>
            <w:noWrap w:val="0"/>
            <w:vAlign w:val="center"/>
          </w:tcPr>
          <w:p>
            <w:pPr>
              <w:spacing w:line="240" w:lineRule="auto"/>
              <w:jc w:val="center"/>
              <w:rPr>
                <w:rFonts w:hint="eastAsia" w:ascii="黑体" w:eastAsia="黑体"/>
                <w:sz w:val="24"/>
                <w:szCs w:val="24"/>
              </w:rPr>
            </w:pPr>
            <w:r>
              <w:rPr>
                <w:rFonts w:hint="eastAsia" w:ascii="黑体" w:eastAsia="黑体"/>
                <w:sz w:val="24"/>
                <w:szCs w:val="24"/>
              </w:rPr>
              <w:t>申请单位</w:t>
            </w:r>
          </w:p>
        </w:tc>
        <w:tc>
          <w:tcPr>
            <w:tcW w:w="3758" w:type="pct"/>
            <w:gridSpan w:val="3"/>
            <w:noWrap w:val="0"/>
            <w:vAlign w:val="center"/>
          </w:tcPr>
          <w:p>
            <w:pPr>
              <w:spacing w:line="360" w:lineRule="exact"/>
              <w:jc w:val="center"/>
              <w:rPr>
                <w:rFonts w:hint="eastAsia" w:ascii="黑体" w:eastAsia="黑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1" w:type="pct"/>
            <w:noWrap w:val="0"/>
            <w:vAlign w:val="center"/>
          </w:tcPr>
          <w:p>
            <w:pPr>
              <w:spacing w:line="240" w:lineRule="auto"/>
              <w:jc w:val="center"/>
              <w:rPr>
                <w:rFonts w:hint="eastAsia" w:ascii="黑体" w:eastAsia="黑体"/>
                <w:sz w:val="24"/>
                <w:szCs w:val="24"/>
              </w:rPr>
            </w:pPr>
            <w:r>
              <w:rPr>
                <w:rFonts w:hint="eastAsia" w:ascii="黑体" w:eastAsia="黑体"/>
                <w:sz w:val="24"/>
                <w:szCs w:val="24"/>
              </w:rPr>
              <w:t>地址</w:t>
            </w:r>
          </w:p>
        </w:tc>
        <w:tc>
          <w:tcPr>
            <w:tcW w:w="2394" w:type="pct"/>
            <w:noWrap w:val="0"/>
            <w:vAlign w:val="center"/>
          </w:tcPr>
          <w:p>
            <w:pPr>
              <w:spacing w:line="360" w:lineRule="exact"/>
              <w:jc w:val="center"/>
              <w:rPr>
                <w:rFonts w:hint="eastAsia" w:ascii="黑体" w:eastAsia="黑体"/>
                <w:sz w:val="24"/>
              </w:rPr>
            </w:pPr>
          </w:p>
        </w:tc>
        <w:tc>
          <w:tcPr>
            <w:tcW w:w="508" w:type="pct"/>
            <w:noWrap w:val="0"/>
            <w:vAlign w:val="center"/>
          </w:tcPr>
          <w:p>
            <w:pPr>
              <w:spacing w:line="360" w:lineRule="exact"/>
              <w:jc w:val="center"/>
              <w:rPr>
                <w:rFonts w:hint="eastAsia" w:ascii="黑体" w:eastAsia="黑体"/>
                <w:sz w:val="24"/>
              </w:rPr>
            </w:pPr>
            <w:r>
              <w:rPr>
                <w:rFonts w:hint="eastAsia" w:ascii="黑体" w:eastAsia="黑体"/>
                <w:sz w:val="24"/>
              </w:rPr>
              <w:t>邮编</w:t>
            </w:r>
          </w:p>
        </w:tc>
        <w:tc>
          <w:tcPr>
            <w:tcW w:w="855" w:type="pct"/>
            <w:noWrap w:val="0"/>
            <w:vAlign w:val="center"/>
          </w:tcPr>
          <w:p>
            <w:pPr>
              <w:spacing w:line="360" w:lineRule="exact"/>
              <w:jc w:val="center"/>
              <w:rPr>
                <w:rFonts w:hint="eastAsia" w:ascii="黑体" w:eastAsia="黑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atLeast"/>
          <w:jc w:val="center"/>
        </w:trPr>
        <w:tc>
          <w:tcPr>
            <w:tcW w:w="1241" w:type="pct"/>
            <w:noWrap w:val="0"/>
            <w:vAlign w:val="center"/>
          </w:tcPr>
          <w:p>
            <w:pPr>
              <w:spacing w:line="240" w:lineRule="auto"/>
              <w:jc w:val="center"/>
              <w:rPr>
                <w:rFonts w:hint="eastAsia" w:ascii="黑体" w:eastAsia="黑体"/>
                <w:sz w:val="24"/>
                <w:szCs w:val="24"/>
              </w:rPr>
            </w:pPr>
            <w:r>
              <w:rPr>
                <w:rFonts w:hint="eastAsia" w:ascii="黑体" w:eastAsia="黑体"/>
                <w:sz w:val="24"/>
                <w:szCs w:val="24"/>
              </w:rPr>
              <w:t>经营范围</w:t>
            </w:r>
          </w:p>
          <w:p>
            <w:pPr>
              <w:spacing w:line="240" w:lineRule="auto"/>
              <w:jc w:val="center"/>
              <w:rPr>
                <w:rFonts w:hint="eastAsia" w:ascii="黑体" w:eastAsia="黑体"/>
                <w:sz w:val="24"/>
                <w:szCs w:val="24"/>
              </w:rPr>
            </w:pPr>
            <w:r>
              <w:rPr>
                <w:rFonts w:hint="eastAsia" w:ascii="黑体" w:eastAsia="黑体"/>
                <w:sz w:val="24"/>
                <w:szCs w:val="24"/>
              </w:rPr>
              <w:t>（简要概括）</w:t>
            </w:r>
          </w:p>
        </w:tc>
        <w:tc>
          <w:tcPr>
            <w:tcW w:w="3758" w:type="pct"/>
            <w:gridSpan w:val="3"/>
            <w:noWrap w:val="0"/>
            <w:vAlign w:val="top"/>
          </w:tcPr>
          <w:p>
            <w:pPr>
              <w:jc w:val="center"/>
              <w:rPr>
                <w:rFonts w:hint="eastAsia" w:ascii="黑体" w:eastAsia="黑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 w:hRule="atLeast"/>
          <w:jc w:val="center"/>
        </w:trPr>
        <w:tc>
          <w:tcPr>
            <w:tcW w:w="1241" w:type="pct"/>
            <w:noWrap w:val="0"/>
            <w:vAlign w:val="center"/>
          </w:tcPr>
          <w:p>
            <w:pPr>
              <w:spacing w:line="240" w:lineRule="auto"/>
              <w:jc w:val="center"/>
              <w:rPr>
                <w:rFonts w:hint="eastAsia" w:ascii="黑体" w:eastAsia="黑体"/>
                <w:sz w:val="24"/>
                <w:szCs w:val="24"/>
              </w:rPr>
            </w:pPr>
            <w:r>
              <w:rPr>
                <w:rFonts w:hint="eastAsia" w:ascii="黑体" w:eastAsia="黑体"/>
                <w:sz w:val="24"/>
                <w:szCs w:val="24"/>
              </w:rPr>
              <w:t>主要产品</w:t>
            </w:r>
          </w:p>
          <w:p>
            <w:pPr>
              <w:spacing w:line="240" w:lineRule="auto"/>
              <w:jc w:val="center"/>
              <w:rPr>
                <w:rFonts w:hint="eastAsia" w:ascii="黑体" w:eastAsia="黑体"/>
                <w:sz w:val="24"/>
                <w:szCs w:val="24"/>
              </w:rPr>
            </w:pPr>
            <w:r>
              <w:rPr>
                <w:rFonts w:hint="eastAsia" w:ascii="黑体" w:eastAsia="黑体"/>
                <w:sz w:val="24"/>
                <w:szCs w:val="24"/>
              </w:rPr>
              <w:t>技术说明</w:t>
            </w:r>
          </w:p>
        </w:tc>
        <w:tc>
          <w:tcPr>
            <w:tcW w:w="3758" w:type="pct"/>
            <w:gridSpan w:val="3"/>
            <w:noWrap w:val="0"/>
            <w:vAlign w:val="top"/>
          </w:tcPr>
          <w:p>
            <w:pPr>
              <w:jc w:val="center"/>
              <w:rPr>
                <w:rFonts w:hint="eastAsia" w:ascii="黑体" w:eastAsia="黑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8" w:hRule="atLeast"/>
          <w:jc w:val="center"/>
        </w:trPr>
        <w:tc>
          <w:tcPr>
            <w:tcW w:w="1241" w:type="pct"/>
            <w:noWrap w:val="0"/>
            <w:vAlign w:val="center"/>
          </w:tcPr>
          <w:p>
            <w:pPr>
              <w:spacing w:line="240" w:lineRule="auto"/>
              <w:jc w:val="center"/>
              <w:rPr>
                <w:rFonts w:hint="eastAsia" w:ascii="黑体" w:eastAsia="黑体"/>
                <w:sz w:val="24"/>
                <w:szCs w:val="24"/>
              </w:rPr>
            </w:pPr>
            <w:r>
              <w:rPr>
                <w:rFonts w:hint="eastAsia" w:ascii="黑体" w:eastAsia="黑体"/>
                <w:sz w:val="24"/>
                <w:szCs w:val="24"/>
              </w:rPr>
              <w:t>申请单位意见</w:t>
            </w:r>
          </w:p>
        </w:tc>
        <w:tc>
          <w:tcPr>
            <w:tcW w:w="3758" w:type="pct"/>
            <w:gridSpan w:val="3"/>
            <w:noWrap w:val="0"/>
            <w:vAlign w:val="top"/>
          </w:tcPr>
          <w:p>
            <w:pPr>
              <w:rPr>
                <w:rFonts w:hint="eastAsia" w:ascii="黑体" w:eastAsia="黑体"/>
                <w:sz w:val="24"/>
              </w:rPr>
            </w:pPr>
            <w:r>
              <w:rPr>
                <w:rFonts w:hint="eastAsia" w:ascii="黑体" w:eastAsia="黑体"/>
                <w:sz w:val="24"/>
              </w:rPr>
              <w:t xml:space="preserve">                                     </w:t>
            </w:r>
          </w:p>
          <w:p>
            <w:pPr>
              <w:rPr>
                <w:rFonts w:hint="eastAsia" w:ascii="黑体" w:eastAsia="黑体"/>
                <w:sz w:val="24"/>
              </w:rPr>
            </w:pPr>
          </w:p>
          <w:p>
            <w:pPr>
              <w:rPr>
                <w:rFonts w:hint="eastAsia" w:ascii="黑体" w:eastAsia="黑体"/>
                <w:sz w:val="24"/>
              </w:rPr>
            </w:pPr>
          </w:p>
          <w:p>
            <w:pPr>
              <w:jc w:val="right"/>
              <w:rPr>
                <w:rFonts w:hint="eastAsia" w:ascii="黑体" w:eastAsia="黑体"/>
                <w:sz w:val="24"/>
              </w:rPr>
            </w:pPr>
            <w:r>
              <w:rPr>
                <w:rFonts w:hint="eastAsia" w:ascii="黑体" w:eastAsia="黑体"/>
                <w:sz w:val="24"/>
              </w:rPr>
              <w:t>负责人签字：</w:t>
            </w:r>
            <w:r>
              <w:rPr>
                <w:rFonts w:hint="eastAsia" w:ascii="黑体" w:eastAsia="黑体"/>
                <w:sz w:val="24"/>
                <w:lang w:val="en-US" w:eastAsia="zh-CN"/>
              </w:rPr>
              <w:t xml:space="preserve">        </w:t>
            </w:r>
            <w:r>
              <w:rPr>
                <w:rFonts w:hint="eastAsia" w:ascii="黑体" w:eastAsia="黑体"/>
                <w:sz w:val="24"/>
              </w:rPr>
              <w:t>（盖章）</w:t>
            </w:r>
          </w:p>
          <w:p>
            <w:pPr>
              <w:jc w:val="right"/>
              <w:rPr>
                <w:rFonts w:hint="eastAsia" w:ascii="黑体" w:eastAsia="黑体"/>
                <w:sz w:val="24"/>
              </w:rPr>
            </w:pPr>
          </w:p>
          <w:p>
            <w:pPr>
              <w:jc w:val="right"/>
              <w:rPr>
                <w:rFonts w:hint="eastAsia" w:ascii="黑体" w:eastAsia="黑体"/>
                <w:sz w:val="24"/>
              </w:rPr>
            </w:pPr>
            <w:r>
              <w:rPr>
                <w:rFonts w:hint="eastAsia" w:ascii="黑体" w:eastAsia="黑体"/>
                <w:sz w:val="24"/>
              </w:rPr>
              <w:t>年    月   日</w:t>
            </w:r>
          </w:p>
        </w:tc>
      </w:tr>
    </w:tbl>
    <w:p>
      <w:pPr>
        <w:jc w:val="center"/>
        <w:rPr>
          <w:rFonts w:hint="eastAsia" w:ascii="黑体" w:eastAsia="黑体"/>
          <w:sz w:val="30"/>
          <w:szCs w:val="30"/>
        </w:rPr>
      </w:pPr>
      <w:r>
        <w:rPr>
          <w:rFonts w:hint="eastAsia" w:ascii="黑体" w:eastAsia="黑体"/>
          <w:sz w:val="30"/>
          <w:szCs w:val="30"/>
        </w:rPr>
        <w:t>标准</w:t>
      </w:r>
      <w:r>
        <w:rPr>
          <w:rFonts w:hint="eastAsia" w:ascii="黑体" w:eastAsia="黑体"/>
          <w:sz w:val="30"/>
          <w:szCs w:val="30"/>
          <w:lang w:val="en-US" w:eastAsia="zh-CN"/>
        </w:rPr>
        <w:t>参编</w:t>
      </w:r>
      <w:r>
        <w:rPr>
          <w:rFonts w:hint="eastAsia" w:ascii="黑体" w:eastAsia="黑体"/>
          <w:sz w:val="30"/>
          <w:szCs w:val="30"/>
        </w:rPr>
        <w:t>成员登记表</w:t>
      </w:r>
    </w:p>
    <w:tbl>
      <w:tblPr>
        <w:tblStyle w:val="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1907"/>
        <w:gridCol w:w="854"/>
        <w:gridCol w:w="1929"/>
        <w:gridCol w:w="840"/>
        <w:gridCol w:w="21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24" w:hRule="atLeast"/>
          <w:jc w:val="center"/>
        </w:trPr>
        <w:tc>
          <w:tcPr>
            <w:tcW w:w="494" w:type="pct"/>
            <w:tcBorders>
              <w:bottom w:val="single" w:color="auto" w:sz="4" w:space="0"/>
            </w:tcBorders>
            <w:shd w:val="clear" w:color="auto" w:fill="auto"/>
            <w:noWrap w:val="0"/>
            <w:vAlign w:val="center"/>
          </w:tcPr>
          <w:p>
            <w:pPr>
              <w:jc w:val="center"/>
              <w:rPr>
                <w:rFonts w:hint="eastAsia" w:ascii="黑体" w:eastAsia="黑体"/>
                <w:sz w:val="24"/>
                <w:lang w:val="en-US" w:eastAsia="zh-CN"/>
              </w:rPr>
            </w:pPr>
            <w:r>
              <w:rPr>
                <w:rFonts w:hint="eastAsia" w:ascii="黑体" w:eastAsia="黑体"/>
                <w:sz w:val="24"/>
                <w:lang w:val="en-US" w:eastAsia="zh-CN"/>
              </w:rPr>
              <w:t>姓名</w:t>
            </w:r>
          </w:p>
        </w:tc>
        <w:tc>
          <w:tcPr>
            <w:tcW w:w="1119" w:type="pct"/>
            <w:tcBorders>
              <w:bottom w:val="single" w:color="auto" w:sz="4" w:space="0"/>
            </w:tcBorders>
            <w:shd w:val="clear" w:color="auto" w:fill="auto"/>
            <w:noWrap w:val="0"/>
            <w:vAlign w:val="center"/>
          </w:tcPr>
          <w:p>
            <w:pPr>
              <w:jc w:val="center"/>
              <w:rPr>
                <w:rFonts w:hint="eastAsia" w:ascii="黑体" w:eastAsia="黑体"/>
                <w:sz w:val="24"/>
              </w:rPr>
            </w:pPr>
          </w:p>
        </w:tc>
        <w:tc>
          <w:tcPr>
            <w:tcW w:w="501" w:type="pct"/>
            <w:tcBorders>
              <w:bottom w:val="single" w:color="auto" w:sz="4" w:space="0"/>
            </w:tcBorders>
            <w:shd w:val="clear" w:color="auto" w:fill="auto"/>
            <w:noWrap w:val="0"/>
            <w:vAlign w:val="center"/>
          </w:tcPr>
          <w:p>
            <w:pPr>
              <w:jc w:val="center"/>
              <w:rPr>
                <w:rFonts w:hint="eastAsia" w:ascii="黑体" w:eastAsia="黑体"/>
                <w:sz w:val="24"/>
                <w:lang w:eastAsia="zh-CN"/>
              </w:rPr>
            </w:pPr>
            <w:r>
              <w:rPr>
                <w:rFonts w:hint="eastAsia" w:ascii="黑体" w:eastAsia="黑体"/>
                <w:sz w:val="24"/>
                <w:lang w:val="en-US" w:eastAsia="zh-CN"/>
              </w:rPr>
              <w:t>性别</w:t>
            </w:r>
          </w:p>
        </w:tc>
        <w:tc>
          <w:tcPr>
            <w:tcW w:w="1132" w:type="pct"/>
            <w:tcBorders>
              <w:bottom w:val="single" w:color="auto" w:sz="4" w:space="0"/>
            </w:tcBorders>
            <w:shd w:val="clear" w:color="auto" w:fill="auto"/>
            <w:noWrap w:val="0"/>
            <w:vAlign w:val="center"/>
          </w:tcPr>
          <w:p>
            <w:pPr>
              <w:jc w:val="center"/>
              <w:rPr>
                <w:rFonts w:hint="eastAsia" w:ascii="黑体" w:eastAsia="黑体"/>
                <w:sz w:val="24"/>
              </w:rPr>
            </w:pPr>
          </w:p>
        </w:tc>
        <w:tc>
          <w:tcPr>
            <w:tcW w:w="493" w:type="pct"/>
            <w:tcBorders>
              <w:bottom w:val="single" w:color="auto" w:sz="4" w:space="0"/>
            </w:tcBorders>
            <w:shd w:val="clear" w:color="auto" w:fill="auto"/>
            <w:noWrap w:val="0"/>
            <w:vAlign w:val="center"/>
          </w:tcPr>
          <w:p>
            <w:pPr>
              <w:jc w:val="center"/>
              <w:rPr>
                <w:rFonts w:hint="eastAsia" w:ascii="黑体" w:eastAsia="黑体"/>
                <w:sz w:val="24"/>
                <w:lang w:eastAsia="zh-CN"/>
              </w:rPr>
            </w:pPr>
            <w:r>
              <w:rPr>
                <w:rFonts w:hint="eastAsia" w:ascii="黑体" w:eastAsia="黑体"/>
                <w:sz w:val="24"/>
                <w:lang w:val="en-US" w:eastAsia="zh-CN"/>
              </w:rPr>
              <w:t>出生年月</w:t>
            </w:r>
          </w:p>
        </w:tc>
        <w:tc>
          <w:tcPr>
            <w:tcW w:w="1260" w:type="pct"/>
            <w:tcBorders>
              <w:bottom w:val="single" w:color="auto" w:sz="4" w:space="0"/>
            </w:tcBorders>
            <w:shd w:val="clear" w:color="auto" w:fill="auto"/>
            <w:noWrap w:val="0"/>
            <w:vAlign w:val="center"/>
          </w:tcPr>
          <w:p>
            <w:pPr>
              <w:jc w:val="center"/>
              <w:rPr>
                <w:rFonts w:hint="eastAsia" w:ascii="黑体" w:eastAsia="黑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494" w:type="pct"/>
            <w:tcBorders>
              <w:bottom w:val="single" w:color="auto" w:sz="4" w:space="0"/>
            </w:tcBorders>
            <w:shd w:val="clear" w:color="auto" w:fill="auto"/>
            <w:noWrap w:val="0"/>
            <w:vAlign w:val="center"/>
          </w:tcPr>
          <w:p>
            <w:pPr>
              <w:jc w:val="center"/>
              <w:rPr>
                <w:rFonts w:hint="default" w:ascii="黑体" w:eastAsia="黑体"/>
                <w:sz w:val="24"/>
                <w:lang w:val="en-US" w:eastAsia="zh-CN"/>
              </w:rPr>
            </w:pPr>
            <w:r>
              <w:rPr>
                <w:rFonts w:hint="eastAsia" w:ascii="黑体" w:eastAsia="黑体"/>
                <w:sz w:val="24"/>
                <w:lang w:val="en-US" w:eastAsia="zh-CN"/>
              </w:rPr>
              <w:t>工作单位</w:t>
            </w:r>
          </w:p>
        </w:tc>
        <w:tc>
          <w:tcPr>
            <w:tcW w:w="1119" w:type="pct"/>
            <w:tcBorders>
              <w:bottom w:val="single" w:color="auto" w:sz="4" w:space="0"/>
            </w:tcBorders>
            <w:shd w:val="clear" w:color="auto" w:fill="auto"/>
            <w:noWrap w:val="0"/>
            <w:vAlign w:val="center"/>
          </w:tcPr>
          <w:p>
            <w:pPr>
              <w:jc w:val="center"/>
              <w:rPr>
                <w:rFonts w:hint="eastAsia" w:ascii="黑体" w:eastAsia="黑体"/>
                <w:sz w:val="24"/>
              </w:rPr>
            </w:pPr>
          </w:p>
        </w:tc>
        <w:tc>
          <w:tcPr>
            <w:tcW w:w="501" w:type="pct"/>
            <w:tcBorders>
              <w:bottom w:val="single" w:color="auto" w:sz="4" w:space="0"/>
            </w:tcBorders>
            <w:shd w:val="clear" w:color="auto" w:fill="auto"/>
            <w:noWrap w:val="0"/>
            <w:vAlign w:val="center"/>
          </w:tcPr>
          <w:p>
            <w:pPr>
              <w:jc w:val="center"/>
              <w:rPr>
                <w:rFonts w:hint="eastAsia" w:ascii="黑体" w:eastAsia="黑体"/>
                <w:sz w:val="24"/>
                <w:lang w:val="en-US" w:eastAsia="zh-CN"/>
              </w:rPr>
            </w:pPr>
            <w:r>
              <w:rPr>
                <w:rFonts w:hint="eastAsia" w:ascii="黑体" w:eastAsia="黑体"/>
                <w:sz w:val="24"/>
                <w:lang w:val="en-US" w:eastAsia="zh-CN"/>
              </w:rPr>
              <w:t>职务</w:t>
            </w:r>
          </w:p>
        </w:tc>
        <w:tc>
          <w:tcPr>
            <w:tcW w:w="1132" w:type="pct"/>
            <w:tcBorders>
              <w:bottom w:val="single" w:color="auto" w:sz="4" w:space="0"/>
            </w:tcBorders>
            <w:shd w:val="clear" w:color="auto" w:fill="auto"/>
            <w:noWrap w:val="0"/>
            <w:vAlign w:val="center"/>
          </w:tcPr>
          <w:p>
            <w:pPr>
              <w:jc w:val="center"/>
              <w:rPr>
                <w:rFonts w:hint="eastAsia" w:ascii="黑体" w:eastAsia="黑体"/>
                <w:sz w:val="24"/>
              </w:rPr>
            </w:pPr>
          </w:p>
        </w:tc>
        <w:tc>
          <w:tcPr>
            <w:tcW w:w="493" w:type="pct"/>
            <w:tcBorders>
              <w:bottom w:val="single" w:color="auto" w:sz="4" w:space="0"/>
            </w:tcBorders>
            <w:shd w:val="clear" w:color="auto" w:fill="auto"/>
            <w:noWrap w:val="0"/>
            <w:vAlign w:val="center"/>
          </w:tcPr>
          <w:p>
            <w:pPr>
              <w:jc w:val="center"/>
              <w:rPr>
                <w:rFonts w:hint="default" w:ascii="黑体" w:eastAsia="黑体"/>
                <w:sz w:val="24"/>
                <w:lang w:val="en-US" w:eastAsia="zh-CN"/>
              </w:rPr>
            </w:pPr>
            <w:r>
              <w:rPr>
                <w:rFonts w:hint="eastAsia" w:ascii="黑体" w:eastAsia="黑体"/>
                <w:sz w:val="24"/>
                <w:lang w:val="en-US" w:eastAsia="zh-CN"/>
              </w:rPr>
              <w:t>职称</w:t>
            </w:r>
          </w:p>
        </w:tc>
        <w:tc>
          <w:tcPr>
            <w:tcW w:w="1260" w:type="pct"/>
            <w:tcBorders>
              <w:bottom w:val="single" w:color="auto" w:sz="4" w:space="0"/>
            </w:tcBorders>
            <w:shd w:val="clear" w:color="auto" w:fill="auto"/>
            <w:noWrap w:val="0"/>
            <w:vAlign w:val="center"/>
          </w:tcPr>
          <w:p>
            <w:pPr>
              <w:jc w:val="center"/>
              <w:rPr>
                <w:rFonts w:hint="eastAsia" w:ascii="黑体" w:eastAsia="黑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494" w:type="pct"/>
            <w:tcBorders>
              <w:bottom w:val="single" w:color="auto" w:sz="4" w:space="0"/>
            </w:tcBorders>
            <w:shd w:val="clear" w:color="auto" w:fill="auto"/>
            <w:noWrap w:val="0"/>
            <w:vAlign w:val="center"/>
          </w:tcPr>
          <w:p>
            <w:pPr>
              <w:jc w:val="center"/>
              <w:rPr>
                <w:rFonts w:hint="default" w:ascii="黑体" w:eastAsia="黑体"/>
                <w:sz w:val="24"/>
                <w:lang w:val="en-US" w:eastAsia="zh-CN"/>
              </w:rPr>
            </w:pPr>
            <w:r>
              <w:rPr>
                <w:rFonts w:hint="eastAsia" w:ascii="黑体" w:eastAsia="黑体"/>
                <w:sz w:val="24"/>
                <w:lang w:val="en-US" w:eastAsia="zh-CN"/>
              </w:rPr>
              <w:t>毕业院校</w:t>
            </w:r>
          </w:p>
        </w:tc>
        <w:tc>
          <w:tcPr>
            <w:tcW w:w="1119" w:type="pct"/>
            <w:tcBorders>
              <w:bottom w:val="single" w:color="auto" w:sz="4" w:space="0"/>
            </w:tcBorders>
            <w:shd w:val="clear" w:color="auto" w:fill="auto"/>
            <w:noWrap w:val="0"/>
            <w:vAlign w:val="center"/>
          </w:tcPr>
          <w:p>
            <w:pPr>
              <w:jc w:val="center"/>
              <w:rPr>
                <w:rFonts w:hint="eastAsia" w:ascii="黑体" w:eastAsia="黑体"/>
                <w:sz w:val="24"/>
              </w:rPr>
            </w:pPr>
          </w:p>
        </w:tc>
        <w:tc>
          <w:tcPr>
            <w:tcW w:w="501" w:type="pct"/>
            <w:tcBorders>
              <w:bottom w:val="single" w:color="auto" w:sz="4" w:space="0"/>
            </w:tcBorders>
            <w:shd w:val="clear" w:color="auto" w:fill="auto"/>
            <w:noWrap w:val="0"/>
            <w:vAlign w:val="center"/>
          </w:tcPr>
          <w:p>
            <w:pPr>
              <w:jc w:val="center"/>
              <w:rPr>
                <w:rFonts w:hint="eastAsia" w:ascii="黑体" w:eastAsia="黑体"/>
                <w:sz w:val="24"/>
                <w:lang w:val="en-US" w:eastAsia="zh-CN"/>
              </w:rPr>
            </w:pPr>
            <w:r>
              <w:rPr>
                <w:rFonts w:hint="eastAsia" w:ascii="黑体" w:eastAsia="黑体"/>
                <w:sz w:val="24"/>
                <w:lang w:val="en-US" w:eastAsia="zh-CN"/>
              </w:rPr>
              <w:t>所学专业</w:t>
            </w:r>
          </w:p>
        </w:tc>
        <w:tc>
          <w:tcPr>
            <w:tcW w:w="1132" w:type="pct"/>
            <w:tcBorders>
              <w:bottom w:val="single" w:color="auto" w:sz="4" w:space="0"/>
            </w:tcBorders>
            <w:shd w:val="clear" w:color="auto" w:fill="auto"/>
            <w:noWrap w:val="0"/>
            <w:vAlign w:val="center"/>
          </w:tcPr>
          <w:p>
            <w:pPr>
              <w:jc w:val="center"/>
              <w:rPr>
                <w:rFonts w:hint="eastAsia" w:ascii="黑体" w:eastAsia="黑体"/>
                <w:sz w:val="24"/>
              </w:rPr>
            </w:pPr>
          </w:p>
        </w:tc>
        <w:tc>
          <w:tcPr>
            <w:tcW w:w="493" w:type="pct"/>
            <w:tcBorders>
              <w:bottom w:val="single" w:color="auto" w:sz="4" w:space="0"/>
            </w:tcBorders>
            <w:shd w:val="clear" w:color="auto" w:fill="auto"/>
            <w:noWrap w:val="0"/>
            <w:vAlign w:val="center"/>
          </w:tcPr>
          <w:p>
            <w:pPr>
              <w:jc w:val="center"/>
              <w:rPr>
                <w:rFonts w:hint="default" w:ascii="黑体" w:eastAsia="黑体"/>
                <w:sz w:val="24"/>
                <w:lang w:val="en-US" w:eastAsia="zh-CN"/>
              </w:rPr>
            </w:pPr>
            <w:r>
              <w:rPr>
                <w:rFonts w:hint="eastAsia" w:ascii="黑体" w:eastAsia="黑体"/>
                <w:sz w:val="24"/>
                <w:lang w:val="en-US" w:eastAsia="zh-CN"/>
              </w:rPr>
              <w:t>从事专业</w:t>
            </w:r>
          </w:p>
        </w:tc>
        <w:tc>
          <w:tcPr>
            <w:tcW w:w="1260" w:type="pct"/>
            <w:tcBorders>
              <w:bottom w:val="single" w:color="auto" w:sz="4" w:space="0"/>
            </w:tcBorders>
            <w:shd w:val="clear" w:color="auto" w:fill="auto"/>
            <w:noWrap w:val="0"/>
            <w:vAlign w:val="center"/>
          </w:tcPr>
          <w:p>
            <w:pPr>
              <w:jc w:val="center"/>
              <w:rPr>
                <w:rFonts w:hint="eastAsia" w:ascii="黑体" w:eastAsia="黑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494" w:type="pct"/>
            <w:tcBorders>
              <w:bottom w:val="single" w:color="auto" w:sz="4" w:space="0"/>
            </w:tcBorders>
            <w:shd w:val="clear" w:color="auto" w:fill="auto"/>
            <w:noWrap w:val="0"/>
            <w:vAlign w:val="center"/>
          </w:tcPr>
          <w:p>
            <w:pPr>
              <w:jc w:val="center"/>
              <w:rPr>
                <w:rFonts w:hint="default" w:ascii="黑体" w:eastAsia="黑体"/>
                <w:sz w:val="24"/>
                <w:lang w:val="en-US" w:eastAsia="zh-CN"/>
              </w:rPr>
            </w:pPr>
            <w:r>
              <w:rPr>
                <w:rFonts w:hint="eastAsia" w:ascii="黑体" w:eastAsia="黑体"/>
                <w:sz w:val="24"/>
                <w:lang w:val="en-US" w:eastAsia="zh-CN"/>
              </w:rPr>
              <w:t>最高学历</w:t>
            </w:r>
          </w:p>
        </w:tc>
        <w:tc>
          <w:tcPr>
            <w:tcW w:w="1119" w:type="pct"/>
            <w:tcBorders>
              <w:bottom w:val="single" w:color="auto" w:sz="4" w:space="0"/>
            </w:tcBorders>
            <w:shd w:val="clear" w:color="auto" w:fill="auto"/>
            <w:noWrap w:val="0"/>
            <w:vAlign w:val="center"/>
          </w:tcPr>
          <w:p>
            <w:pPr>
              <w:jc w:val="center"/>
              <w:rPr>
                <w:rFonts w:hint="eastAsia" w:ascii="黑体" w:eastAsia="黑体"/>
                <w:sz w:val="24"/>
              </w:rPr>
            </w:pPr>
          </w:p>
        </w:tc>
        <w:tc>
          <w:tcPr>
            <w:tcW w:w="501" w:type="pct"/>
            <w:tcBorders>
              <w:bottom w:val="single" w:color="auto" w:sz="4" w:space="0"/>
            </w:tcBorders>
            <w:shd w:val="clear" w:color="auto" w:fill="auto"/>
            <w:noWrap w:val="0"/>
            <w:vAlign w:val="center"/>
          </w:tcPr>
          <w:p>
            <w:pPr>
              <w:jc w:val="center"/>
              <w:rPr>
                <w:rFonts w:hint="eastAsia" w:ascii="黑体" w:eastAsia="黑体"/>
                <w:sz w:val="24"/>
                <w:lang w:val="en-US" w:eastAsia="zh-CN"/>
              </w:rPr>
            </w:pPr>
            <w:r>
              <w:rPr>
                <w:rFonts w:hint="eastAsia" w:ascii="黑体" w:eastAsia="黑体"/>
                <w:sz w:val="24"/>
                <w:lang w:val="en-US" w:eastAsia="zh-CN"/>
              </w:rPr>
              <w:t>邮箱</w:t>
            </w:r>
          </w:p>
        </w:tc>
        <w:tc>
          <w:tcPr>
            <w:tcW w:w="1132" w:type="pct"/>
            <w:tcBorders>
              <w:bottom w:val="single" w:color="auto" w:sz="4" w:space="0"/>
            </w:tcBorders>
            <w:shd w:val="clear" w:color="auto" w:fill="auto"/>
            <w:noWrap w:val="0"/>
            <w:vAlign w:val="center"/>
          </w:tcPr>
          <w:p>
            <w:pPr>
              <w:jc w:val="center"/>
              <w:rPr>
                <w:rFonts w:hint="eastAsia" w:ascii="黑体" w:eastAsia="黑体"/>
                <w:sz w:val="24"/>
              </w:rPr>
            </w:pPr>
          </w:p>
        </w:tc>
        <w:tc>
          <w:tcPr>
            <w:tcW w:w="493" w:type="pct"/>
            <w:tcBorders>
              <w:bottom w:val="single" w:color="auto" w:sz="4" w:space="0"/>
            </w:tcBorders>
            <w:shd w:val="clear" w:color="auto" w:fill="auto"/>
            <w:noWrap w:val="0"/>
            <w:vAlign w:val="center"/>
          </w:tcPr>
          <w:p>
            <w:pPr>
              <w:jc w:val="center"/>
              <w:rPr>
                <w:rFonts w:hint="eastAsia" w:ascii="黑体" w:eastAsia="黑体"/>
                <w:sz w:val="24"/>
                <w:lang w:val="en-US" w:eastAsia="zh-CN"/>
              </w:rPr>
            </w:pPr>
            <w:r>
              <w:rPr>
                <w:rFonts w:hint="eastAsia" w:ascii="黑体" w:eastAsia="黑体"/>
                <w:sz w:val="24"/>
                <w:lang w:val="en-US" w:eastAsia="zh-CN"/>
              </w:rPr>
              <w:t>手机</w:t>
            </w:r>
          </w:p>
        </w:tc>
        <w:tc>
          <w:tcPr>
            <w:tcW w:w="1260" w:type="pct"/>
            <w:tcBorders>
              <w:bottom w:val="single" w:color="auto" w:sz="4" w:space="0"/>
            </w:tcBorders>
            <w:shd w:val="clear" w:color="auto" w:fill="auto"/>
            <w:noWrap w:val="0"/>
            <w:vAlign w:val="center"/>
          </w:tcPr>
          <w:p>
            <w:pPr>
              <w:jc w:val="center"/>
              <w:rPr>
                <w:rFonts w:hint="eastAsia" w:ascii="黑体" w:eastAsia="黑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613" w:type="pct"/>
            <w:gridSpan w:val="2"/>
            <w:tcBorders>
              <w:bottom w:val="single" w:color="auto" w:sz="4" w:space="0"/>
            </w:tcBorders>
            <w:shd w:val="clear" w:color="auto" w:fill="auto"/>
            <w:noWrap w:val="0"/>
            <w:vAlign w:val="center"/>
          </w:tcPr>
          <w:p>
            <w:pPr>
              <w:jc w:val="center"/>
              <w:rPr>
                <w:rFonts w:hint="eastAsia" w:ascii="黑体" w:eastAsia="黑体"/>
                <w:sz w:val="24"/>
                <w:lang w:val="en-US" w:eastAsia="zh-CN"/>
              </w:rPr>
            </w:pPr>
            <w:r>
              <w:rPr>
                <w:rFonts w:hint="eastAsia" w:ascii="黑体" w:eastAsia="黑体"/>
                <w:sz w:val="24"/>
                <w:lang w:val="en-US" w:eastAsia="zh-CN"/>
              </w:rPr>
              <w:t>联系地址</w:t>
            </w:r>
          </w:p>
        </w:tc>
        <w:tc>
          <w:tcPr>
            <w:tcW w:w="3386" w:type="pct"/>
            <w:gridSpan w:val="4"/>
            <w:tcBorders>
              <w:bottom w:val="single" w:color="auto" w:sz="4" w:space="0"/>
            </w:tcBorders>
            <w:shd w:val="clear" w:color="auto" w:fill="auto"/>
            <w:noWrap w:val="0"/>
            <w:vAlign w:val="center"/>
          </w:tcPr>
          <w:p>
            <w:pPr>
              <w:jc w:val="center"/>
              <w:rPr>
                <w:rFonts w:hint="eastAsia" w:ascii="黑体" w:eastAsia="黑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01" w:hRule="atLeast"/>
          <w:jc w:val="center"/>
        </w:trPr>
        <w:tc>
          <w:tcPr>
            <w:tcW w:w="494" w:type="pct"/>
            <w:tcBorders>
              <w:bottom w:val="single" w:color="auto" w:sz="4" w:space="0"/>
            </w:tcBorders>
            <w:shd w:val="clear" w:color="auto" w:fill="auto"/>
            <w:noWrap w:val="0"/>
            <w:vAlign w:val="center"/>
          </w:tcPr>
          <w:p>
            <w:pPr>
              <w:jc w:val="center"/>
              <w:rPr>
                <w:rFonts w:hint="default" w:ascii="黑体" w:eastAsia="黑体"/>
                <w:sz w:val="24"/>
                <w:lang w:val="en-US" w:eastAsia="zh-CN"/>
              </w:rPr>
            </w:pPr>
            <w:r>
              <w:rPr>
                <w:rFonts w:hint="eastAsia" w:ascii="黑体" w:eastAsia="黑体"/>
                <w:sz w:val="24"/>
                <w:lang w:val="en-US" w:eastAsia="zh-CN"/>
              </w:rPr>
              <w:t>技术工作/成果简介</w:t>
            </w:r>
          </w:p>
        </w:tc>
        <w:tc>
          <w:tcPr>
            <w:tcW w:w="4505" w:type="pct"/>
            <w:gridSpan w:val="5"/>
            <w:tcBorders>
              <w:bottom w:val="single" w:color="auto" w:sz="4" w:space="0"/>
            </w:tcBorders>
            <w:shd w:val="clear" w:color="auto" w:fill="auto"/>
            <w:noWrap w:val="0"/>
            <w:vAlign w:val="center"/>
          </w:tcPr>
          <w:p>
            <w:pPr>
              <w:jc w:val="center"/>
              <w:rPr>
                <w:rFonts w:hint="eastAsia" w:ascii="黑体" w:eastAsia="黑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01" w:hRule="atLeast"/>
          <w:jc w:val="center"/>
        </w:trPr>
        <w:tc>
          <w:tcPr>
            <w:tcW w:w="494" w:type="pct"/>
            <w:tcBorders>
              <w:bottom w:val="single" w:color="auto" w:sz="4" w:space="0"/>
            </w:tcBorders>
            <w:shd w:val="clear" w:color="auto" w:fill="auto"/>
            <w:noWrap w:val="0"/>
            <w:vAlign w:val="center"/>
          </w:tcPr>
          <w:p>
            <w:pPr>
              <w:jc w:val="center"/>
              <w:rPr>
                <w:rFonts w:hint="default" w:ascii="黑体" w:eastAsia="黑体"/>
                <w:sz w:val="24"/>
                <w:lang w:val="en-US" w:eastAsia="zh-CN"/>
              </w:rPr>
            </w:pPr>
            <w:r>
              <w:rPr>
                <w:rFonts w:hint="eastAsia" w:ascii="黑体" w:eastAsia="黑体"/>
                <w:sz w:val="24"/>
                <w:lang w:val="en-US" w:eastAsia="zh-CN"/>
              </w:rPr>
              <w:t>单位意见</w:t>
            </w:r>
          </w:p>
        </w:tc>
        <w:tc>
          <w:tcPr>
            <w:tcW w:w="4505" w:type="pct"/>
            <w:gridSpan w:val="5"/>
            <w:tcBorders>
              <w:bottom w:val="single" w:color="auto" w:sz="4" w:space="0"/>
            </w:tcBorders>
            <w:shd w:val="clear" w:color="auto" w:fill="auto"/>
            <w:noWrap w:val="0"/>
            <w:vAlign w:val="center"/>
          </w:tcPr>
          <w:p>
            <w:pPr>
              <w:ind w:firstLine="480" w:firstLineChars="200"/>
              <w:rPr>
                <w:rFonts w:hint="eastAsia" w:ascii="黑体" w:eastAsia="黑体"/>
                <w:sz w:val="24"/>
              </w:rPr>
            </w:pPr>
            <w:r>
              <w:rPr>
                <w:rFonts w:hint="eastAsia" w:ascii="黑体" w:eastAsia="黑体"/>
                <w:sz w:val="24"/>
              </w:rPr>
              <w:t>本单位</w:t>
            </w:r>
            <w:r>
              <w:rPr>
                <w:rFonts w:hint="eastAsia" w:ascii="黑体" w:eastAsia="黑体"/>
                <w:sz w:val="24"/>
                <w:lang w:val="en-US" w:eastAsia="zh-CN"/>
              </w:rPr>
              <w:t>及参编人员</w:t>
            </w:r>
            <w:r>
              <w:rPr>
                <w:rFonts w:hint="eastAsia" w:ascii="黑体" w:eastAsia="黑体"/>
                <w:sz w:val="24"/>
              </w:rPr>
              <w:t>愿意遵守《标准参编管理办法》及相关规定，积极参与编写工作组组织的各项活动，愿意承担工作组分配的相关工作，并承担工作所需的相关费用。</w:t>
            </w:r>
          </w:p>
          <w:p>
            <w:pPr>
              <w:ind w:firstLine="480" w:firstLineChars="200"/>
              <w:rPr>
                <w:rFonts w:hint="eastAsia" w:ascii="黑体" w:eastAsia="黑体"/>
                <w:sz w:val="24"/>
                <w:lang w:val="en-US" w:eastAsia="zh-CN"/>
              </w:rPr>
            </w:pPr>
            <w:r>
              <w:rPr>
                <w:rFonts w:hint="eastAsia" w:ascii="黑体" w:eastAsia="黑体"/>
                <w:sz w:val="24"/>
                <w:lang w:val="en-US" w:eastAsia="zh-CN"/>
              </w:rPr>
              <w:t>为保证标准编制工作的连续性和一致性，我单位将尽力保证固定参编人员。若有特殊情况，会几时与主导单位进行沟通协商。</w:t>
            </w:r>
          </w:p>
          <w:p>
            <w:pPr>
              <w:ind w:firstLine="480" w:firstLineChars="200"/>
              <w:rPr>
                <w:rFonts w:hint="default" w:ascii="黑体" w:eastAsia="黑体"/>
                <w:sz w:val="24"/>
                <w:lang w:val="en-US" w:eastAsia="zh-CN"/>
              </w:rPr>
            </w:pPr>
          </w:p>
          <w:p>
            <w:pPr>
              <w:ind w:firstLine="480" w:firstLineChars="200"/>
              <w:rPr>
                <w:rFonts w:hint="eastAsia" w:ascii="黑体" w:eastAsia="黑体"/>
                <w:sz w:val="24"/>
              </w:rPr>
            </w:pPr>
          </w:p>
          <w:p>
            <w:pPr>
              <w:ind w:firstLine="6600" w:firstLineChars="2750"/>
              <w:rPr>
                <w:rFonts w:hint="eastAsia" w:ascii="黑体" w:eastAsia="黑体"/>
                <w:sz w:val="24"/>
                <w:lang w:eastAsia="zh-CN"/>
              </w:rPr>
            </w:pPr>
            <w:r>
              <w:rPr>
                <w:rFonts w:hint="eastAsia" w:ascii="黑体" w:eastAsia="黑体"/>
                <w:sz w:val="24"/>
              </w:rPr>
              <w:t>（盖章</w:t>
            </w:r>
            <w:r>
              <w:rPr>
                <w:rFonts w:hint="eastAsia" w:ascii="黑体" w:eastAsia="黑体"/>
                <w:sz w:val="24"/>
                <w:lang w:eastAsia="zh-CN"/>
              </w:rPr>
              <w:t>）</w:t>
            </w:r>
          </w:p>
          <w:p>
            <w:pPr>
              <w:jc w:val="right"/>
              <w:rPr>
                <w:rFonts w:hint="eastAsia" w:ascii="黑体" w:eastAsia="黑体"/>
                <w:sz w:val="24"/>
              </w:rPr>
            </w:pPr>
            <w:r>
              <w:rPr>
                <w:rFonts w:hint="eastAsia" w:ascii="黑体" w:eastAsia="黑体"/>
                <w:sz w:val="24"/>
                <w:lang w:val="en-US" w:eastAsia="zh-CN"/>
              </w:rPr>
              <w:t xml:space="preserve">年    月    </w:t>
            </w:r>
            <w:r>
              <w:rPr>
                <w:rFonts w:hint="eastAsia" w:ascii="黑体" w:eastAsia="黑体"/>
                <w:sz w:val="24"/>
              </w:rPr>
              <w:t>日</w:t>
            </w:r>
          </w:p>
        </w:tc>
      </w:tr>
    </w:tbl>
    <w:p>
      <w:pPr>
        <w:rPr>
          <w:rFonts w:hint="default" w:ascii="微软雅黑" w:hAnsi="微软雅黑" w:eastAsia="微软雅黑" w:cs="微软雅黑"/>
          <w:sz w:val="24"/>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Yu Mincho">
    <w:altName w:val="Kozuka Mincho Pro R"/>
    <w:panose1 w:val="02020400000000000000"/>
    <w:charset w:val="80"/>
    <w:family w:val="roman"/>
    <w:pitch w:val="default"/>
    <w:sig w:usb0="00000000" w:usb1="00000000" w:usb2="00000012" w:usb3="00000000" w:csb0="0002009F" w:csb1="00000000"/>
  </w:font>
  <w:font w:name="Kozuka Mincho Pro R">
    <w:panose1 w:val="02020400000000000000"/>
    <w:charset w:val="80"/>
    <w:family w:val="auto"/>
    <w:pitch w:val="default"/>
    <w:sig w:usb0="00000083" w:usb1="2AC71C11" w:usb2="00000012" w:usb3="00000000" w:csb0="20020005"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mOTZlZmIyMDNiNzQ0OWY5MTkzZjJkNjdlZTJiYWUifQ=="/>
  </w:docVars>
  <w:rsids>
    <w:rsidRoot w:val="49370C2E"/>
    <w:rsid w:val="0025169A"/>
    <w:rsid w:val="043307A6"/>
    <w:rsid w:val="0469198F"/>
    <w:rsid w:val="05C761FA"/>
    <w:rsid w:val="14E100A1"/>
    <w:rsid w:val="2C3C763E"/>
    <w:rsid w:val="2CA41638"/>
    <w:rsid w:val="42693C47"/>
    <w:rsid w:val="434D1DE5"/>
    <w:rsid w:val="44A16BCF"/>
    <w:rsid w:val="49370C2E"/>
    <w:rsid w:val="501136A2"/>
    <w:rsid w:val="55FF575B"/>
    <w:rsid w:val="63756813"/>
    <w:rsid w:val="6A9816EF"/>
    <w:rsid w:val="6BF97DA0"/>
    <w:rsid w:val="6D1F063B"/>
    <w:rsid w:val="6DF05318"/>
    <w:rsid w:val="79F75E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5">
    <w:name w:val="Strong"/>
    <w:basedOn w:val="4"/>
    <w:autoRedefine/>
    <w:qFormat/>
    <w:uiPriority w:val="0"/>
    <w:rPr>
      <w:b/>
    </w:rPr>
  </w:style>
  <w:style w:type="paragraph" w:customStyle="1" w:styleId="6">
    <w:name w:val="标题1"/>
    <w:basedOn w:val="1"/>
    <w:autoRedefine/>
    <w:qFormat/>
    <w:uiPriority w:val="0"/>
    <w:pPr>
      <w:ind w:firstLine="0" w:firstLineChars="0"/>
      <w:outlineLvl w:val="0"/>
    </w:pPr>
    <w:rPr>
      <w:rFonts w:ascii="黑体" w:hAnsi="黑体" w:eastAsia="黑体"/>
      <w:b/>
      <w:bCs/>
    </w:rPr>
  </w:style>
  <w:style w:type="paragraph" w:customStyle="1" w:styleId="7">
    <w:name w:val="标题2"/>
    <w:basedOn w:val="6"/>
    <w:autoRedefine/>
    <w:qFormat/>
    <w:uiPriority w:val="0"/>
    <w:pPr>
      <w:outlineLvl w:val="1"/>
    </w:pPr>
  </w:style>
  <w:style w:type="paragraph" w:customStyle="1" w:styleId="8">
    <w:name w:val="标题3"/>
    <w:basedOn w:val="6"/>
    <w:autoRedefine/>
    <w:qFormat/>
    <w:uiPriority w:val="0"/>
    <w:pPr>
      <w:outlineLvl w:val="2"/>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2024-03-07T08:13:00Z</dcterms:created>
  <dc:creator>Dong璐</dc:creator>
  <cp:lastModifiedBy>智慧安防协会</cp:lastModifiedBy>
  <dcterms:modified xsi:type="dcterms:W3CDTF">2024-03-13T09:26:48Z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51E10D70774C4116B6E5E2538D639D6A_11</vt:lpwstr>
  </property>
</Properties>
</file>